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大厂回族自治县供销合作社</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大厂回族自治县供销合作社</w:t>
      </w: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、贯彻县委、县政府和市供销社有关农村工作和社会发展的方针、政策，制定全县供销社发展战略和规划，指导全县供销社改革和发展。</w:t>
      </w:r>
    </w:p>
    <w:p>
      <w:pPr>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、按照供销合作社章程赋予的合法权益，负责协调与政府各部门和社会组织的关系，促进合作经济的发展。</w:t>
      </w:r>
    </w:p>
    <w:p>
      <w:pPr>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、承担全县重要防汛救灾物资的储备工作。</w:t>
      </w:r>
    </w:p>
    <w:p>
      <w:pPr>
        <w:spacing w:line="500" w:lineRule="exact"/>
        <w:ind w:firstLine="640" w:firstLineChars="200"/>
        <w:jc w:val="left"/>
        <w:rPr>
          <w:rFonts w:ascii="仿宋" w:hAnsi="仿宋" w:eastAsia="仿宋"/>
          <w:sz w:val="32"/>
          <w:szCs w:val="32"/>
        </w:rPr>
      </w:pPr>
      <w:r>
        <w:rPr>
          <w:rFonts w:ascii="仿宋" w:hAnsi="仿宋" w:eastAsia="仿宋" w:cs="仿宋"/>
          <w:sz w:val="32"/>
          <w:szCs w:val="32"/>
        </w:rPr>
        <w:t>4</w:t>
      </w:r>
      <w:r>
        <w:rPr>
          <w:rFonts w:hint="eastAsia" w:ascii="仿宋" w:hAnsi="仿宋" w:eastAsia="仿宋" w:cs="仿宋"/>
          <w:sz w:val="32"/>
          <w:szCs w:val="32"/>
        </w:rPr>
        <w:t>、根据《河北省食盐加碘消除碘缺乏危害监督管理条例》和有关规定，按照县政府授权，做好全县盐业工作。并</w:t>
      </w:r>
      <w:r>
        <w:rPr>
          <w:rFonts w:ascii="仿宋" w:hAnsi="仿宋" w:eastAsia="仿宋"/>
          <w:sz w:val="32"/>
          <w:szCs w:val="32"/>
        </w:rPr>
        <w:t>按照县政府安排推动盐业体制改革工作，拨付盐业体制改革经费，完成县政府交办的改革任务。</w:t>
      </w:r>
    </w:p>
    <w:p>
      <w:pPr>
        <w:ind w:firstLine="640" w:firstLineChars="200"/>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、负责指导全县供销社的业务活动，参与、推动和服务农业产业化经营，发展龙头企业、专业合作社和消费合作社，加快农业社会化服务体系和农产品市场体系建设、开拓城乡市场。</w:t>
      </w:r>
    </w:p>
    <w:p>
      <w:pPr>
        <w:ind w:firstLine="640" w:firstLineChars="200"/>
        <w:rPr>
          <w:rFonts w:ascii="仿宋" w:hAnsi="仿宋" w:eastAsia="仿宋" w:cs="Times New Roman"/>
          <w:sz w:val="32"/>
          <w:szCs w:val="32"/>
        </w:rPr>
      </w:pPr>
      <w:r>
        <w:rPr>
          <w:rFonts w:ascii="仿宋" w:hAnsi="仿宋" w:eastAsia="仿宋" w:cs="仿宋"/>
          <w:sz w:val="32"/>
          <w:szCs w:val="32"/>
        </w:rPr>
        <w:t>6</w:t>
      </w:r>
      <w:r>
        <w:rPr>
          <w:rFonts w:hint="eastAsia" w:ascii="仿宋" w:hAnsi="仿宋" w:eastAsia="仿宋" w:cs="仿宋"/>
          <w:sz w:val="32"/>
          <w:szCs w:val="32"/>
        </w:rPr>
        <w:t>、指导系统实施“科教兴社”战略，指导系统技术创新和技术推广，组织开展对社员和职工教育与培训，为全县供销社提供科技服务和信息服务。</w:t>
      </w:r>
    </w:p>
    <w:p>
      <w:pPr>
        <w:ind w:firstLine="640" w:firstLineChars="200"/>
        <w:rPr>
          <w:rFonts w:ascii="仿宋" w:hAnsi="仿宋" w:eastAsia="仿宋" w:cs="Times New Roman"/>
          <w:sz w:val="32"/>
          <w:szCs w:val="32"/>
        </w:rPr>
      </w:pPr>
      <w:r>
        <w:rPr>
          <w:rFonts w:ascii="仿宋" w:hAnsi="仿宋" w:eastAsia="仿宋" w:cs="仿宋"/>
          <w:sz w:val="32"/>
          <w:szCs w:val="32"/>
        </w:rPr>
        <w:t>7</w:t>
      </w:r>
      <w:r>
        <w:rPr>
          <w:rFonts w:hint="eastAsia" w:ascii="仿宋" w:hAnsi="仿宋" w:eastAsia="仿宋" w:cs="仿宋"/>
          <w:sz w:val="32"/>
          <w:szCs w:val="32"/>
        </w:rPr>
        <w:t>、负责全县供销社所属企业改革，建立现代企业制度，指导系统党风廉政建设。</w:t>
      </w:r>
    </w:p>
    <w:p>
      <w:pPr>
        <w:ind w:firstLine="640" w:firstLineChars="200"/>
        <w:rPr>
          <w:rFonts w:ascii="仿宋" w:hAnsi="仿宋" w:eastAsia="仿宋" w:cs="Times New Roman"/>
          <w:sz w:val="32"/>
          <w:szCs w:val="32"/>
        </w:rPr>
      </w:pPr>
      <w:r>
        <w:rPr>
          <w:rFonts w:ascii="仿宋" w:hAnsi="仿宋" w:eastAsia="仿宋" w:cs="仿宋"/>
          <w:sz w:val="32"/>
          <w:szCs w:val="32"/>
        </w:rPr>
        <w:t>8</w:t>
      </w:r>
      <w:r>
        <w:rPr>
          <w:rFonts w:hint="eastAsia" w:ascii="仿宋" w:hAnsi="仿宋" w:eastAsia="仿宋" w:cs="仿宋"/>
          <w:sz w:val="32"/>
          <w:szCs w:val="32"/>
        </w:rPr>
        <w:t>、负责管理运营本级社有资产，对直属企业行使出资人职能，依法享有所有者的资产收益、重大问题决策和选择管理者的权利，决定资产收益办法和支配方式。负责机关及直属单位党建、精神文明建设和政治思想工作，按照干部管理权限考察任免干部。</w:t>
      </w:r>
    </w:p>
    <w:p>
      <w:pPr>
        <w:ind w:firstLine="640" w:firstLineChars="200"/>
        <w:rPr>
          <w:rFonts w:ascii="仿宋" w:hAnsi="仿宋" w:eastAsia="仿宋" w:cs="Times New Roman"/>
          <w:sz w:val="32"/>
          <w:szCs w:val="32"/>
        </w:rPr>
      </w:pPr>
      <w:r>
        <w:rPr>
          <w:rFonts w:ascii="仿宋" w:hAnsi="仿宋" w:eastAsia="仿宋" w:cs="仿宋"/>
          <w:sz w:val="32"/>
          <w:szCs w:val="32"/>
        </w:rPr>
        <w:t>9</w:t>
      </w:r>
      <w:r>
        <w:rPr>
          <w:rFonts w:hint="eastAsia" w:ascii="仿宋" w:hAnsi="仿宋" w:eastAsia="仿宋" w:cs="仿宋"/>
          <w:sz w:val="32"/>
          <w:szCs w:val="32"/>
        </w:rPr>
        <w:t>、承办县委、县政府和市供销社交办的其他事项。</w:t>
      </w:r>
    </w:p>
    <w:p>
      <w:pPr>
        <w:ind w:firstLine="643" w:firstLineChars="200"/>
        <w:rPr>
          <w:rFonts w:ascii="楷体" w:hAnsi="楷体" w:eastAsia="楷体" w:cs="Times New Roman"/>
          <w:b/>
          <w:bCs/>
          <w:sz w:val="32"/>
          <w:szCs w:val="32"/>
        </w:rPr>
      </w:pPr>
      <w:r>
        <w:rPr>
          <w:rFonts w:hint="eastAsia" w:ascii="楷体" w:hAnsi="楷体" w:eastAsia="楷体" w:cs="楷体"/>
          <w:b/>
          <w:bCs/>
          <w:sz w:val="32"/>
          <w:szCs w:val="32"/>
        </w:rPr>
        <w:t>机构设置：</w:t>
      </w:r>
    </w:p>
    <w:p>
      <w:pPr>
        <w:ind w:firstLine="200"/>
        <w:jc w:val="center"/>
        <w:outlineLvl w:val="0"/>
        <w:rPr>
          <w:rFonts w:ascii="仿宋" w:hAnsi="仿宋" w:eastAsia="仿宋" w:cs="Times New Roman"/>
          <w:sz w:val="32"/>
          <w:szCs w:val="32"/>
        </w:rPr>
      </w:pPr>
      <w:r>
        <w:rPr>
          <w:rFonts w:hint="eastAsia" w:ascii="仿宋" w:hAnsi="仿宋" w:eastAsia="仿宋" w:cs="方正小标宋_GBK"/>
          <w:sz w:val="32"/>
          <w:szCs w:val="32"/>
        </w:rPr>
        <w:t>部门机构设置情况</w:t>
      </w:r>
    </w:p>
    <w:tbl>
      <w:tblPr>
        <w:tblStyle w:val="8"/>
        <w:tblW w:w="13656" w:type="dxa"/>
        <w:tblInd w:w="-17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20"/>
        <w:gridCol w:w="2410"/>
        <w:gridCol w:w="2410"/>
        <w:gridCol w:w="40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3" w:hRule="atLeast"/>
          <w:tblHeader/>
        </w:trPr>
        <w:tc>
          <w:tcPr>
            <w:tcW w:w="4820" w:type="dxa"/>
            <w:vMerge w:val="restart"/>
            <w:vAlign w:val="center"/>
          </w:tcPr>
          <w:p>
            <w:pPr>
              <w:spacing w:line="300" w:lineRule="exact"/>
              <w:ind w:firstLine="200"/>
              <w:jc w:val="center"/>
              <w:rPr>
                <w:rFonts w:ascii="仿宋" w:hAnsi="仿宋" w:eastAsia="仿宋" w:cs="Times New Roman"/>
                <w:b/>
                <w:bCs/>
                <w:sz w:val="32"/>
                <w:szCs w:val="32"/>
              </w:rPr>
            </w:pPr>
            <w:r>
              <w:rPr>
                <w:rFonts w:hint="eastAsia" w:ascii="仿宋" w:hAnsi="仿宋" w:eastAsia="仿宋" w:cs="仿宋"/>
                <w:b/>
                <w:bCs/>
                <w:sz w:val="32"/>
                <w:szCs w:val="32"/>
              </w:rPr>
              <w:t>单位名称</w:t>
            </w:r>
          </w:p>
        </w:tc>
        <w:tc>
          <w:tcPr>
            <w:tcW w:w="2410" w:type="dxa"/>
            <w:vMerge w:val="restart"/>
            <w:vAlign w:val="center"/>
          </w:tcPr>
          <w:p>
            <w:pPr>
              <w:spacing w:line="300" w:lineRule="exact"/>
              <w:ind w:firstLine="200"/>
              <w:jc w:val="center"/>
              <w:rPr>
                <w:rFonts w:ascii="仿宋" w:hAnsi="仿宋" w:eastAsia="仿宋" w:cs="Times New Roman"/>
                <w:b/>
                <w:bCs/>
                <w:sz w:val="32"/>
                <w:szCs w:val="32"/>
              </w:rPr>
            </w:pPr>
            <w:r>
              <w:rPr>
                <w:rFonts w:hint="eastAsia" w:ascii="仿宋" w:hAnsi="仿宋" w:eastAsia="仿宋" w:cs="仿宋"/>
                <w:b/>
                <w:bCs/>
                <w:sz w:val="32"/>
                <w:szCs w:val="32"/>
              </w:rPr>
              <w:t>单位性质</w:t>
            </w:r>
          </w:p>
        </w:tc>
        <w:tc>
          <w:tcPr>
            <w:tcW w:w="2410" w:type="dxa"/>
            <w:vMerge w:val="restart"/>
            <w:vAlign w:val="center"/>
          </w:tcPr>
          <w:p>
            <w:pPr>
              <w:spacing w:line="300" w:lineRule="exact"/>
              <w:ind w:firstLine="200"/>
              <w:jc w:val="center"/>
              <w:rPr>
                <w:rFonts w:ascii="仿宋" w:hAnsi="仿宋" w:eastAsia="仿宋" w:cs="Times New Roman"/>
                <w:b/>
                <w:bCs/>
                <w:sz w:val="32"/>
                <w:szCs w:val="32"/>
              </w:rPr>
            </w:pPr>
            <w:r>
              <w:rPr>
                <w:rFonts w:hint="eastAsia" w:ascii="仿宋" w:hAnsi="仿宋" w:eastAsia="仿宋" w:cs="仿宋"/>
                <w:b/>
                <w:bCs/>
                <w:sz w:val="32"/>
                <w:szCs w:val="32"/>
              </w:rPr>
              <w:t>单位规格</w:t>
            </w:r>
          </w:p>
        </w:tc>
        <w:tc>
          <w:tcPr>
            <w:tcW w:w="4016" w:type="dxa"/>
            <w:vMerge w:val="restart"/>
            <w:vAlign w:val="center"/>
          </w:tcPr>
          <w:p>
            <w:pPr>
              <w:spacing w:line="300" w:lineRule="exact"/>
              <w:ind w:firstLine="200"/>
              <w:jc w:val="center"/>
              <w:rPr>
                <w:rFonts w:ascii="仿宋" w:hAnsi="仿宋" w:eastAsia="仿宋" w:cs="Times New Roman"/>
                <w:b/>
                <w:bCs/>
                <w:sz w:val="32"/>
                <w:szCs w:val="32"/>
              </w:rPr>
            </w:pPr>
            <w:r>
              <w:rPr>
                <w:rFonts w:hint="eastAsia" w:ascii="仿宋" w:hAnsi="仿宋" w:eastAsia="仿宋" w:cs="仿宋"/>
                <w:b/>
                <w:bCs/>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trPr>
        <w:tc>
          <w:tcPr>
            <w:tcW w:w="4820" w:type="dxa"/>
            <w:vMerge w:val="continue"/>
            <w:vAlign w:val="center"/>
          </w:tcPr>
          <w:p>
            <w:pPr>
              <w:spacing w:line="300" w:lineRule="exact"/>
              <w:ind w:firstLine="200"/>
              <w:jc w:val="left"/>
              <w:outlineLvl w:val="0"/>
              <w:rPr>
                <w:rFonts w:ascii="仿宋" w:hAnsi="仿宋" w:eastAsia="仿宋" w:cs="Times New Roman"/>
                <w:sz w:val="32"/>
                <w:szCs w:val="32"/>
              </w:rPr>
            </w:pPr>
          </w:p>
        </w:tc>
        <w:tc>
          <w:tcPr>
            <w:tcW w:w="2410" w:type="dxa"/>
            <w:vMerge w:val="continue"/>
            <w:vAlign w:val="center"/>
          </w:tcPr>
          <w:p>
            <w:pPr>
              <w:spacing w:line="300" w:lineRule="exact"/>
              <w:ind w:firstLine="200"/>
              <w:jc w:val="left"/>
              <w:outlineLvl w:val="0"/>
              <w:rPr>
                <w:rFonts w:ascii="仿宋" w:hAnsi="仿宋" w:eastAsia="仿宋" w:cs="Times New Roman"/>
                <w:sz w:val="32"/>
                <w:szCs w:val="32"/>
              </w:rPr>
            </w:pPr>
          </w:p>
        </w:tc>
        <w:tc>
          <w:tcPr>
            <w:tcW w:w="2410" w:type="dxa"/>
            <w:vMerge w:val="continue"/>
            <w:vAlign w:val="center"/>
          </w:tcPr>
          <w:p>
            <w:pPr>
              <w:spacing w:line="300" w:lineRule="exact"/>
              <w:ind w:firstLine="200"/>
              <w:jc w:val="left"/>
              <w:outlineLvl w:val="0"/>
              <w:rPr>
                <w:rFonts w:ascii="仿宋" w:hAnsi="仿宋" w:eastAsia="仿宋" w:cs="Times New Roman"/>
                <w:sz w:val="32"/>
                <w:szCs w:val="32"/>
              </w:rPr>
            </w:pPr>
          </w:p>
        </w:tc>
        <w:tc>
          <w:tcPr>
            <w:tcW w:w="4016" w:type="dxa"/>
            <w:vMerge w:val="continue"/>
            <w:vAlign w:val="center"/>
          </w:tcPr>
          <w:p>
            <w:pPr>
              <w:spacing w:line="300" w:lineRule="exact"/>
              <w:ind w:firstLine="200"/>
              <w:jc w:val="center"/>
              <w:outlineLvl w:val="0"/>
              <w:rPr>
                <w:rFonts w:ascii="仿宋" w:hAnsi="仿宋" w:eastAsia="仿宋"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98" w:hRule="atLeast"/>
        </w:trPr>
        <w:tc>
          <w:tcPr>
            <w:tcW w:w="4820" w:type="dxa"/>
            <w:vAlign w:val="center"/>
          </w:tcPr>
          <w:p>
            <w:pPr>
              <w:jc w:val="center"/>
              <w:rPr>
                <w:rFonts w:ascii="仿宋" w:hAnsi="仿宋" w:eastAsia="仿宋" w:cs="Times New Roman"/>
                <w:sz w:val="32"/>
                <w:szCs w:val="32"/>
              </w:rPr>
            </w:pPr>
            <w:r>
              <w:rPr>
                <w:rFonts w:hint="eastAsia" w:ascii="仿宋" w:hAnsi="仿宋" w:eastAsia="仿宋"/>
                <w:sz w:val="32"/>
                <w:szCs w:val="32"/>
              </w:rPr>
              <w:t>大厂回族自治县供销合作社</w:t>
            </w:r>
          </w:p>
        </w:tc>
        <w:tc>
          <w:tcPr>
            <w:tcW w:w="2410" w:type="dxa"/>
            <w:vAlign w:val="center"/>
          </w:tcPr>
          <w:p>
            <w:pPr>
              <w:spacing w:line="300" w:lineRule="exact"/>
              <w:ind w:firstLine="200"/>
              <w:jc w:val="center"/>
              <w:rPr>
                <w:rFonts w:ascii="仿宋" w:hAnsi="仿宋" w:eastAsia="仿宋" w:cs="Times New Roman"/>
                <w:sz w:val="32"/>
                <w:szCs w:val="32"/>
              </w:rPr>
            </w:pPr>
            <w:r>
              <w:rPr>
                <w:rFonts w:hint="eastAsia" w:ascii="仿宋" w:hAnsi="仿宋" w:eastAsia="仿宋" w:cs="Times New Roman"/>
                <w:sz w:val="32"/>
                <w:szCs w:val="32"/>
              </w:rPr>
              <w:t>行政</w:t>
            </w:r>
          </w:p>
        </w:tc>
        <w:tc>
          <w:tcPr>
            <w:tcW w:w="2410" w:type="dxa"/>
            <w:vAlign w:val="center"/>
          </w:tcPr>
          <w:p>
            <w:pPr>
              <w:spacing w:line="300" w:lineRule="exact"/>
              <w:ind w:firstLine="200"/>
              <w:jc w:val="center"/>
              <w:rPr>
                <w:rFonts w:ascii="仿宋" w:hAnsi="仿宋" w:eastAsia="仿宋" w:cs="Times New Roman"/>
                <w:sz w:val="32"/>
                <w:szCs w:val="32"/>
              </w:rPr>
            </w:pPr>
            <w:r>
              <w:rPr>
                <w:rFonts w:hint="eastAsia" w:ascii="仿宋" w:hAnsi="仿宋" w:eastAsia="仿宋" w:cs="仿宋"/>
                <w:sz w:val="32"/>
                <w:szCs w:val="32"/>
              </w:rPr>
              <w:t>正科级</w:t>
            </w:r>
          </w:p>
        </w:tc>
        <w:tc>
          <w:tcPr>
            <w:tcW w:w="4016" w:type="dxa"/>
            <w:vAlign w:val="center"/>
          </w:tcPr>
          <w:p>
            <w:pPr>
              <w:spacing w:line="300" w:lineRule="exact"/>
              <w:ind w:firstLine="200"/>
              <w:jc w:val="center"/>
              <w:rPr>
                <w:rFonts w:ascii="仿宋" w:hAnsi="仿宋" w:eastAsia="仿宋" w:cs="Times New Roman"/>
                <w:sz w:val="32"/>
                <w:szCs w:val="32"/>
              </w:rPr>
            </w:pPr>
            <w:r>
              <w:rPr>
                <w:rFonts w:hint="eastAsia" w:ascii="仿宋" w:hAnsi="仿宋" w:eastAsia="仿宋" w:cs="仿宋"/>
                <w:sz w:val="32"/>
                <w:szCs w:val="32"/>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ind w:firstLine="640" w:firstLineChars="200"/>
        <w:rPr>
          <w:rFonts w:ascii="仿宋" w:hAnsi="仿宋" w:eastAsia="仿宋" w:cs="Times New Roman"/>
          <w:sz w:val="32"/>
          <w:szCs w:val="32"/>
        </w:rPr>
      </w:pPr>
      <w:r>
        <w:rPr>
          <w:rFonts w:hint="eastAsia" w:ascii="仿宋" w:hAnsi="仿宋" w:eastAsia="仿宋" w:cs="仿宋"/>
          <w:sz w:val="32"/>
          <w:szCs w:val="32"/>
        </w:rPr>
        <w:t>按照预算管理有关规定，目前我部门预算的编制实行综合预算制度，即全部收入和支出都反映在预算中。我部门全部收支包含在部门预算中。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22</w:t>
      </w:r>
      <w:r>
        <w:rPr>
          <w:rFonts w:ascii="仿宋" w:hAnsi="仿宋" w:eastAsia="仿宋" w:cs="Times New Roman"/>
          <w:sz w:val="32"/>
          <w:szCs w:val="32"/>
        </w:rPr>
        <w:t>年预算收入</w:t>
      </w:r>
      <w:r>
        <w:rPr>
          <w:rFonts w:hint="eastAsia" w:ascii="仿宋" w:hAnsi="仿宋" w:eastAsia="仿宋" w:cs="Times New Roman"/>
          <w:sz w:val="32"/>
          <w:szCs w:val="32"/>
        </w:rPr>
        <w:t>332.87</w:t>
      </w:r>
      <w:r>
        <w:rPr>
          <w:rFonts w:ascii="仿宋" w:hAnsi="仿宋" w:eastAsia="仿宋" w:cs="Times New Roman"/>
          <w:sz w:val="32"/>
          <w:szCs w:val="32"/>
        </w:rPr>
        <w:t>万元，其中：一般公共预算收入</w:t>
      </w:r>
      <w:r>
        <w:rPr>
          <w:rFonts w:hint="eastAsia" w:ascii="仿宋" w:hAnsi="仿宋" w:eastAsia="仿宋" w:cs="Times New Roman"/>
          <w:sz w:val="32"/>
          <w:szCs w:val="32"/>
        </w:rPr>
        <w:t>332.87</w:t>
      </w:r>
      <w:r>
        <w:rPr>
          <w:rFonts w:ascii="仿宋" w:hAnsi="仿宋" w:eastAsia="仿宋" w:cs="Times New Roman"/>
          <w:sz w:val="32"/>
          <w:szCs w:val="32"/>
        </w:rPr>
        <w:t>万元，基金预算收入</w:t>
      </w:r>
      <w:r>
        <w:rPr>
          <w:rFonts w:hint="eastAsia" w:ascii="仿宋" w:hAnsi="仿宋" w:eastAsia="仿宋" w:cs="Times New Roman"/>
          <w:sz w:val="32"/>
          <w:szCs w:val="32"/>
        </w:rPr>
        <w:t>0</w:t>
      </w:r>
      <w:r>
        <w:rPr>
          <w:rFonts w:ascii="仿宋" w:hAnsi="仿宋" w:eastAsia="仿宋" w:cs="Times New Roman"/>
          <w:sz w:val="32"/>
          <w:szCs w:val="32"/>
        </w:rPr>
        <w:t>万元，财政专户核拨收入</w:t>
      </w:r>
      <w:r>
        <w:rPr>
          <w:rFonts w:hint="eastAsia" w:ascii="仿宋" w:hAnsi="仿宋" w:eastAsia="仿宋" w:cs="Times New Roman"/>
          <w:sz w:val="32"/>
          <w:szCs w:val="32"/>
        </w:rPr>
        <w:t>0</w:t>
      </w:r>
      <w:r>
        <w:rPr>
          <w:rFonts w:ascii="仿宋" w:hAnsi="仿宋" w:eastAsia="仿宋" w:cs="Times New Roman"/>
          <w:sz w:val="32"/>
          <w:szCs w:val="32"/>
        </w:rPr>
        <w:t>万元，其他来源收入</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rPr>
        <w:t>0万元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大厂回族自治县供销合作社2022</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22</w:t>
      </w:r>
      <w:r>
        <w:rPr>
          <w:rFonts w:ascii="仿宋" w:hAnsi="仿宋" w:eastAsia="仿宋" w:cs="Times New Roman"/>
          <w:sz w:val="32"/>
          <w:szCs w:val="32"/>
        </w:rPr>
        <w:t>年支出预算</w:t>
      </w:r>
      <w:r>
        <w:rPr>
          <w:rFonts w:hint="eastAsia" w:ascii="仿宋" w:hAnsi="仿宋" w:eastAsia="仿宋" w:cs="Times New Roman"/>
          <w:sz w:val="32"/>
          <w:szCs w:val="32"/>
        </w:rPr>
        <w:t>332.87</w:t>
      </w:r>
      <w:r>
        <w:rPr>
          <w:rFonts w:ascii="仿宋" w:hAnsi="仿宋" w:eastAsia="仿宋" w:cs="Times New Roman"/>
          <w:sz w:val="32"/>
          <w:szCs w:val="32"/>
        </w:rPr>
        <w:t>万元，其中基本支出</w:t>
      </w:r>
      <w:r>
        <w:rPr>
          <w:rFonts w:hint="eastAsia" w:ascii="仿宋" w:hAnsi="仿宋" w:eastAsia="仿宋" w:cs="Times New Roman"/>
          <w:sz w:val="32"/>
          <w:szCs w:val="32"/>
        </w:rPr>
        <w:t>301.57</w:t>
      </w:r>
      <w:r>
        <w:rPr>
          <w:rFonts w:ascii="仿宋" w:hAnsi="仿宋" w:eastAsia="仿宋" w:cs="Times New Roman"/>
          <w:sz w:val="32"/>
          <w:szCs w:val="32"/>
        </w:rPr>
        <w:t>万元，包括人员类项目经费</w:t>
      </w:r>
      <w:r>
        <w:rPr>
          <w:rFonts w:hint="eastAsia" w:ascii="仿宋" w:hAnsi="仿宋" w:eastAsia="仿宋" w:cs="Times New Roman"/>
          <w:sz w:val="32"/>
          <w:szCs w:val="32"/>
        </w:rPr>
        <w:t>272.72</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rPr>
        <w:t>28.85</w:t>
      </w:r>
      <w:r>
        <w:rPr>
          <w:rFonts w:ascii="仿宋" w:hAnsi="仿宋" w:eastAsia="仿宋" w:cs="Times New Roman"/>
          <w:sz w:val="32"/>
          <w:szCs w:val="32"/>
        </w:rPr>
        <w:t>万元；运转类其他及特定目标类项目支出</w:t>
      </w:r>
      <w:r>
        <w:rPr>
          <w:rFonts w:hint="eastAsia" w:ascii="仿宋" w:hAnsi="仿宋" w:eastAsia="仿宋" w:cs="Times New Roman"/>
          <w:sz w:val="32"/>
          <w:szCs w:val="32"/>
        </w:rPr>
        <w:t>31.3</w:t>
      </w:r>
      <w:r>
        <w:rPr>
          <w:rFonts w:ascii="仿宋" w:hAnsi="仿宋" w:eastAsia="仿宋" w:cs="Times New Roman"/>
          <w:sz w:val="32"/>
          <w:szCs w:val="32"/>
        </w:rPr>
        <w:t>万元，</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年预算收支安排</w:t>
      </w:r>
      <w:r>
        <w:rPr>
          <w:rFonts w:hint="eastAsia" w:ascii="仿宋" w:hAnsi="仿宋" w:eastAsia="仿宋" w:cs="Times New Roman"/>
          <w:sz w:val="32"/>
          <w:szCs w:val="32"/>
        </w:rPr>
        <w:t>332.87</w:t>
      </w:r>
      <w:r>
        <w:rPr>
          <w:rFonts w:ascii="仿宋" w:hAnsi="仿宋" w:eastAsia="仿宋" w:cs="Times New Roman"/>
          <w:sz w:val="32"/>
          <w:szCs w:val="32"/>
        </w:rPr>
        <w:t>万元，较20</w:t>
      </w:r>
      <w:r>
        <w:rPr>
          <w:rFonts w:hint="eastAsia" w:ascii="仿宋" w:hAnsi="仿宋" w:eastAsia="仿宋" w:cs="Times New Roman"/>
          <w:sz w:val="32"/>
          <w:szCs w:val="32"/>
        </w:rPr>
        <w:t>21</w:t>
      </w:r>
      <w:r>
        <w:rPr>
          <w:rFonts w:ascii="仿宋" w:hAnsi="仿宋" w:eastAsia="仿宋" w:cs="Times New Roman"/>
          <w:sz w:val="32"/>
          <w:szCs w:val="32"/>
        </w:rPr>
        <w:t>年预算</w:t>
      </w:r>
      <w:r>
        <w:rPr>
          <w:rFonts w:hint="eastAsia" w:ascii="仿宋" w:hAnsi="仿宋" w:eastAsia="仿宋" w:cs="Times New Roman"/>
          <w:sz w:val="32"/>
          <w:szCs w:val="32"/>
        </w:rPr>
        <w:t>减少41.13</w:t>
      </w:r>
      <w:r>
        <w:rPr>
          <w:rFonts w:ascii="仿宋" w:hAnsi="仿宋" w:eastAsia="仿宋" w:cs="Times New Roman"/>
          <w:sz w:val="32"/>
          <w:szCs w:val="32"/>
        </w:rPr>
        <w:t>万元，其中：基本支出</w:t>
      </w:r>
      <w:r>
        <w:rPr>
          <w:rFonts w:hint="eastAsia" w:ascii="仿宋" w:hAnsi="仿宋" w:eastAsia="仿宋" w:cs="Times New Roman"/>
          <w:sz w:val="32"/>
          <w:szCs w:val="32"/>
        </w:rPr>
        <w:t>减少27.13</w:t>
      </w:r>
      <w:r>
        <w:rPr>
          <w:rFonts w:ascii="仿宋" w:hAnsi="仿宋" w:eastAsia="仿宋" w:cs="Times New Roman"/>
          <w:sz w:val="32"/>
          <w:szCs w:val="32"/>
        </w:rPr>
        <w:t>万元，主要为</w:t>
      </w:r>
      <w:r>
        <w:rPr>
          <w:rFonts w:hint="eastAsia" w:ascii="仿宋" w:hAnsi="仿宋" w:eastAsia="仿宋" w:cs="Times New Roman"/>
          <w:sz w:val="32"/>
          <w:szCs w:val="32"/>
        </w:rPr>
        <w:t>人员</w:t>
      </w:r>
      <w:r>
        <w:rPr>
          <w:rFonts w:ascii="仿宋" w:hAnsi="仿宋" w:eastAsia="仿宋" w:cs="Times New Roman"/>
          <w:sz w:val="32"/>
          <w:szCs w:val="32"/>
        </w:rPr>
        <w:t>支出；项目支出</w:t>
      </w:r>
      <w:r>
        <w:rPr>
          <w:rFonts w:hint="eastAsia" w:ascii="仿宋" w:hAnsi="仿宋" w:eastAsia="仿宋" w:cs="Times New Roman"/>
          <w:sz w:val="32"/>
          <w:szCs w:val="32"/>
        </w:rPr>
        <w:t>减少14</w:t>
      </w:r>
      <w:r>
        <w:rPr>
          <w:rFonts w:ascii="仿宋" w:hAnsi="仿宋" w:eastAsia="仿宋" w:cs="Times New Roman"/>
          <w:sz w:val="32"/>
          <w:szCs w:val="32"/>
        </w:rPr>
        <w:t>万元，主要为</w:t>
      </w:r>
      <w:r>
        <w:rPr>
          <w:rFonts w:hint="eastAsia" w:ascii="仿宋" w:hAnsi="仿宋" w:eastAsia="仿宋" w:cs="Times New Roman"/>
          <w:sz w:val="32"/>
          <w:szCs w:val="32"/>
        </w:rPr>
        <w:t>残保金列入公用经费</w:t>
      </w:r>
      <w:r>
        <w:rPr>
          <w:rFonts w:ascii="仿宋" w:hAnsi="仿宋" w:eastAsia="仿宋"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w:t>
      </w:r>
      <w:r>
        <w:rPr>
          <w:rFonts w:hint="eastAsia" w:ascii="仿宋" w:hAnsi="仿宋" w:eastAsia="仿宋" w:cs="Times New Roman"/>
          <w:sz w:val="32"/>
          <w:szCs w:val="32"/>
        </w:rPr>
        <w:t>单位</w:t>
      </w:r>
      <w:r>
        <w:rPr>
          <w:rFonts w:ascii="仿宋" w:hAnsi="仿宋" w:eastAsia="仿宋" w:cs="Times New Roman"/>
          <w:sz w:val="32"/>
          <w:szCs w:val="32"/>
        </w:rPr>
        <w:t>机关运行经费共计安排</w:t>
      </w:r>
      <w:r>
        <w:rPr>
          <w:rFonts w:hint="eastAsia" w:ascii="仿宋" w:hAnsi="仿宋" w:eastAsia="仿宋" w:cs="Times New Roman"/>
          <w:sz w:val="32"/>
          <w:szCs w:val="32"/>
        </w:rPr>
        <w:t>28.85</w:t>
      </w:r>
      <w:r>
        <w:rPr>
          <w:rFonts w:ascii="仿宋" w:hAnsi="仿宋" w:eastAsia="仿宋" w:cs="Times New Roman"/>
          <w:sz w:val="32"/>
          <w:szCs w:val="32"/>
        </w:rPr>
        <w:t>万元，主要用于</w:t>
      </w:r>
      <w:r>
        <w:rPr>
          <w:rFonts w:hint="eastAsia" w:ascii="仿宋" w:hAnsi="仿宋" w:eastAsia="仿宋" w:cs="Times New Roman"/>
          <w:sz w:val="32"/>
          <w:szCs w:val="32"/>
        </w:rPr>
        <w:t>供销合作社</w:t>
      </w:r>
      <w:r>
        <w:rPr>
          <w:rFonts w:ascii="仿宋" w:hAnsi="仿宋" w:eastAsia="仿宋"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w:t>
      </w:r>
      <w:r>
        <w:rPr>
          <w:rFonts w:hint="eastAsia" w:ascii="仿宋" w:hAnsi="仿宋" w:eastAsia="仿宋" w:cs="Times New Roman"/>
          <w:sz w:val="32"/>
          <w:szCs w:val="32"/>
        </w:rPr>
        <w:t>单位</w:t>
      </w:r>
      <w:r>
        <w:rPr>
          <w:rFonts w:ascii="仿宋" w:hAnsi="仿宋" w:eastAsia="仿宋" w:cs="Times New Roman"/>
          <w:sz w:val="32"/>
          <w:szCs w:val="32"/>
        </w:rPr>
        <w:t>财政拨款“三公”经费预算安排</w:t>
      </w:r>
      <w:r>
        <w:rPr>
          <w:rFonts w:hint="eastAsia" w:ascii="仿宋" w:hAnsi="仿宋" w:eastAsia="仿宋" w:cs="Times New Roman"/>
          <w:sz w:val="32"/>
          <w:szCs w:val="32"/>
        </w:rPr>
        <w:t>2.31</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rPr>
        <w:t>2.2</w:t>
      </w:r>
      <w:r>
        <w:rPr>
          <w:rFonts w:ascii="仿宋" w:hAnsi="仿宋" w:eastAsia="仿宋" w:cs="Times New Roman"/>
          <w:sz w:val="32"/>
          <w:szCs w:val="32"/>
        </w:rPr>
        <w:t>万元（其中：公务用车购置费为</w:t>
      </w:r>
      <w:r>
        <w:rPr>
          <w:rFonts w:hint="eastAsia" w:ascii="仿宋" w:hAnsi="仿宋" w:eastAsia="仿宋" w:cs="Times New Roman"/>
          <w:sz w:val="32"/>
          <w:szCs w:val="32"/>
        </w:rPr>
        <w:t>0</w:t>
      </w:r>
      <w:r>
        <w:rPr>
          <w:rFonts w:ascii="仿宋" w:hAnsi="仿宋" w:eastAsia="仿宋" w:cs="Times New Roman"/>
          <w:sz w:val="32"/>
          <w:szCs w:val="32"/>
        </w:rPr>
        <w:t>万元，公务用车运维费</w:t>
      </w:r>
      <w:r>
        <w:rPr>
          <w:rFonts w:hint="eastAsia" w:ascii="仿宋" w:hAnsi="仿宋" w:eastAsia="仿宋" w:cs="Times New Roman"/>
          <w:sz w:val="32"/>
          <w:szCs w:val="32"/>
        </w:rPr>
        <w:t>2.2</w:t>
      </w:r>
      <w:r>
        <w:rPr>
          <w:rFonts w:ascii="仿宋" w:hAnsi="仿宋" w:eastAsia="仿宋" w:cs="Times New Roman"/>
          <w:sz w:val="32"/>
          <w:szCs w:val="32"/>
        </w:rPr>
        <w:t>万元)；公务接待费</w:t>
      </w:r>
      <w:r>
        <w:rPr>
          <w:rFonts w:hint="eastAsia" w:ascii="仿宋" w:hAnsi="仿宋" w:eastAsia="仿宋" w:cs="Times New Roman"/>
          <w:sz w:val="32"/>
          <w:szCs w:val="32"/>
        </w:rPr>
        <w:t>0.11</w:t>
      </w:r>
      <w:r>
        <w:rPr>
          <w:rFonts w:ascii="仿宋" w:hAnsi="仿宋" w:eastAsia="仿宋" w:cs="Times New Roman"/>
          <w:sz w:val="32"/>
          <w:szCs w:val="32"/>
        </w:rPr>
        <w:t>万元。</w:t>
      </w:r>
      <w:r>
        <w:rPr>
          <w:rFonts w:hint="eastAsia" w:ascii="仿宋" w:hAnsi="仿宋" w:eastAsia="仿宋" w:cs="Times New Roman"/>
          <w:sz w:val="32"/>
          <w:szCs w:val="32"/>
        </w:rPr>
        <w:t>其中，</w:t>
      </w:r>
      <w:r>
        <w:rPr>
          <w:rFonts w:ascii="仿宋" w:hAnsi="仿宋" w:eastAsia="仿宋" w:cs="Times New Roman"/>
          <w:sz w:val="32"/>
          <w:szCs w:val="32"/>
        </w:rPr>
        <w:t>公务用车购置及运维费与20</w:t>
      </w:r>
      <w:r>
        <w:rPr>
          <w:rFonts w:hint="eastAsia" w:ascii="仿宋" w:hAnsi="仿宋" w:eastAsia="仿宋" w:cs="Times New Roman"/>
          <w:sz w:val="32"/>
          <w:szCs w:val="32"/>
        </w:rPr>
        <w:t>21</w:t>
      </w:r>
      <w:r>
        <w:rPr>
          <w:rFonts w:ascii="仿宋" w:hAnsi="仿宋" w:eastAsia="仿宋" w:cs="Times New Roman"/>
          <w:sz w:val="32"/>
          <w:szCs w:val="32"/>
        </w:rPr>
        <w:t>年相比</w:t>
      </w:r>
      <w:r>
        <w:rPr>
          <w:rFonts w:hint="eastAsia" w:ascii="仿宋" w:hAnsi="仿宋" w:eastAsia="仿宋" w:cs="Times New Roman"/>
          <w:sz w:val="32"/>
          <w:szCs w:val="32"/>
        </w:rPr>
        <w:t>减少0.1万元，为公务用车保险减少</w:t>
      </w:r>
      <w:r>
        <w:rPr>
          <w:rFonts w:ascii="仿宋" w:hAnsi="仿宋" w:eastAsia="仿宋" w:cs="Times New Roman"/>
          <w:sz w:val="32"/>
          <w:szCs w:val="32"/>
        </w:rPr>
        <w:t>。公务接待费与20</w:t>
      </w:r>
      <w:r>
        <w:rPr>
          <w:rFonts w:hint="eastAsia" w:ascii="仿宋" w:hAnsi="仿宋" w:eastAsia="仿宋" w:cs="Times New Roman"/>
          <w:sz w:val="32"/>
          <w:szCs w:val="32"/>
        </w:rPr>
        <w:t>21</w:t>
      </w:r>
      <w:r>
        <w:rPr>
          <w:rFonts w:ascii="仿宋" w:hAnsi="仿宋" w:eastAsia="仿宋" w:cs="Times New Roman"/>
          <w:sz w:val="32"/>
          <w:szCs w:val="32"/>
        </w:rPr>
        <w:t>年相比持平，无增减变化。</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五、绩效预算信息</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第一部分 部门整体绩效目标</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（一）总体绩效目标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1、供销流通管理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贯彻落实党和政府商业流通有关方针政策，研究制定行业发展战略和规划，组织指导行业改革发展，确保供销社事业改革、发展和壮大、发挥供销社在商业流通服务的作用，负责行业管理，指导社属企业经营管理，确保社有资产的安全和增值，开展教育培训，维护合法权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2、服务三农事务管理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贯彻落实党和政府有关服务“三农”方针政策，以供销合作社体系为依托，自下而上组建农民合作社联合社、创新组织体系、服务体系和农村金融体系。</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紧紧围绕“三农”工作大局，以密切与农民利益联结为核心，以提升为农服务能力为根本，以强化基层社和创新联合社治理机制为重点，按照政事分开、社企分开的方向，推进体制改革和机制创新，加快建成适应社会主义市场经济需要、适应城乡发展一体化需要、适应中国特色农业现代化需要的组织体系和服务机制。</w:t>
      </w:r>
    </w:p>
    <w:p>
      <w:pPr>
        <w:spacing w:line="500" w:lineRule="exact"/>
        <w:ind w:firstLine="640" w:firstLineChars="200"/>
        <w:jc w:val="left"/>
        <w:rPr>
          <w:rFonts w:ascii="仿宋" w:hAnsi="仿宋" w:eastAsia="仿宋"/>
          <w:sz w:val="32"/>
          <w:szCs w:val="32"/>
        </w:rPr>
      </w:pPr>
      <w:r>
        <w:rPr>
          <w:rFonts w:ascii="仿宋" w:hAnsi="仿宋" w:eastAsia="仿宋"/>
          <w:sz w:val="32"/>
          <w:szCs w:val="32"/>
        </w:rPr>
        <w:t>3、物资储备管理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按照政府授权，承担管理食盐及救灾物资等重要物资的储备任务。保证盐业市场供应稳定</w:t>
      </w:r>
      <w:r>
        <w:rPr>
          <w:rFonts w:hint="eastAsia" w:ascii="仿宋" w:hAnsi="仿宋" w:eastAsia="仿宋"/>
          <w:sz w:val="32"/>
          <w:szCs w:val="32"/>
        </w:rPr>
        <w:t>、</w:t>
      </w:r>
      <w:r>
        <w:rPr>
          <w:rFonts w:ascii="仿宋" w:hAnsi="仿宋" w:eastAsia="仿宋"/>
          <w:sz w:val="32"/>
          <w:szCs w:val="32"/>
        </w:rPr>
        <w:t>保证防汛救灾的需要</w:t>
      </w:r>
      <w:r>
        <w:rPr>
          <w:rFonts w:hint="eastAsia" w:ascii="仿宋" w:hAnsi="仿宋" w:eastAsia="仿宋"/>
          <w:sz w:val="32"/>
          <w:szCs w:val="32"/>
        </w:rPr>
        <w:t>，</w:t>
      </w:r>
      <w:r>
        <w:rPr>
          <w:rFonts w:ascii="仿宋" w:hAnsi="仿宋" w:eastAsia="仿宋"/>
          <w:sz w:val="32"/>
          <w:szCs w:val="32"/>
        </w:rPr>
        <w:t>增强政府对市场的宏观调控能力和应急保障。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4、盐务管理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组织对直属企业进行改革和管理。按照县政府安排推动盐业体制改革工作，拨付盐业体制改革经费，完成县政府交办的改革任务。</w:t>
      </w:r>
    </w:p>
    <w:p>
      <w:pPr>
        <w:spacing w:line="500" w:lineRule="exact"/>
        <w:ind w:firstLine="640" w:firstLineChars="200"/>
        <w:jc w:val="left"/>
        <w:rPr>
          <w:rFonts w:ascii="仿宋" w:hAnsi="仿宋" w:eastAsia="仿宋"/>
          <w:sz w:val="32"/>
          <w:szCs w:val="32"/>
        </w:rPr>
      </w:pPr>
      <w:r>
        <w:rPr>
          <w:rFonts w:ascii="仿宋" w:hAnsi="仿宋" w:eastAsia="仿宋"/>
          <w:sz w:val="32"/>
          <w:szCs w:val="32"/>
        </w:rPr>
        <w:t>5、供销合作政务管理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负责供销合作社系统综合业务管理和机关综合事务管理，确保各项业务工作谋划到位、顺利开展,保障机关工作正常高效运转。</w:t>
      </w:r>
    </w:p>
    <w:p>
      <w:pPr>
        <w:spacing w:line="500" w:lineRule="exact"/>
        <w:ind w:firstLine="643" w:firstLineChars="200"/>
        <w:jc w:val="left"/>
        <w:outlineLvl w:val="1"/>
        <w:rPr>
          <w:rFonts w:ascii="楷体" w:hAnsi="楷体" w:eastAsia="楷体"/>
          <w:b/>
          <w:sz w:val="32"/>
          <w:szCs w:val="32"/>
        </w:rPr>
      </w:pPr>
      <w:r>
        <w:rPr>
          <w:rFonts w:hint="eastAsia" w:ascii="楷体" w:hAnsi="楷体" w:eastAsia="楷体" w:cs="宋体"/>
          <w:b/>
          <w:sz w:val="32"/>
          <w:szCs w:val="32"/>
        </w:rPr>
        <w:t>（</w:t>
      </w:r>
      <w:r>
        <w:rPr>
          <w:rFonts w:hint="eastAsia" w:ascii="楷体" w:hAnsi="楷体" w:eastAsia="楷体"/>
          <w:b/>
          <w:sz w:val="32"/>
          <w:szCs w:val="32"/>
        </w:rPr>
        <w:t>二</w:t>
      </w:r>
      <w:r>
        <w:rPr>
          <w:rFonts w:hint="eastAsia" w:ascii="楷体" w:hAnsi="楷体" w:eastAsia="楷体" w:cs="宋体"/>
          <w:b/>
          <w:sz w:val="32"/>
          <w:szCs w:val="32"/>
        </w:rPr>
        <w:t>）</w:t>
      </w:r>
      <w:r>
        <w:rPr>
          <w:rFonts w:hint="eastAsia" w:ascii="楷体" w:hAnsi="楷体" w:eastAsia="楷体"/>
          <w:b/>
          <w:sz w:val="32"/>
          <w:szCs w:val="32"/>
        </w:rPr>
        <w:t>分项绩效目标</w:t>
      </w:r>
      <w:r>
        <w:rPr>
          <w:rFonts w:ascii="楷体" w:hAnsi="楷体" w:eastAsia="楷体"/>
          <w:b/>
          <w:sz w:val="32"/>
          <w:szCs w:val="32"/>
        </w:rPr>
        <w:fldChar w:fldCharType="begin"/>
      </w:r>
      <w:r>
        <w:rPr>
          <w:rFonts w:ascii="楷体" w:hAnsi="楷体" w:eastAsia="楷体"/>
          <w:b/>
          <w:sz w:val="32"/>
          <w:szCs w:val="32"/>
        </w:rPr>
        <w:instrText xml:space="preserve"> </w:instrText>
      </w:r>
      <w:r>
        <w:rPr>
          <w:rFonts w:hint="eastAsia" w:ascii="楷体" w:hAnsi="楷体" w:eastAsia="楷体"/>
          <w:b/>
          <w:sz w:val="32"/>
          <w:szCs w:val="32"/>
        </w:rPr>
        <w:instrText xml:space="preserve">TC </w:instrText>
      </w:r>
      <w:bookmarkStart w:id="0" w:name="_Toc32740889"/>
      <w:r>
        <w:rPr>
          <w:rFonts w:hint="eastAsia" w:ascii="楷体" w:hAnsi="楷体" w:eastAsia="楷体"/>
          <w:b/>
          <w:sz w:val="32"/>
          <w:szCs w:val="32"/>
        </w:rPr>
        <w:instrText xml:space="preserve">分项绩效目标</w:instrText>
      </w:r>
      <w:bookmarkEnd w:id="0"/>
      <w:r>
        <w:rPr>
          <w:rFonts w:hint="eastAsia" w:ascii="楷体" w:hAnsi="楷体" w:eastAsia="楷体"/>
          <w:b/>
          <w:sz w:val="32"/>
          <w:szCs w:val="32"/>
        </w:rPr>
        <w:instrText xml:space="preserve"> \f A \l 1</w:instrText>
      </w:r>
      <w:r>
        <w:rPr>
          <w:rFonts w:ascii="楷体" w:hAnsi="楷体" w:eastAsia="楷体"/>
          <w:b/>
          <w:sz w:val="32"/>
          <w:szCs w:val="32"/>
        </w:rPr>
        <w:instrText xml:space="preserve"> </w:instrText>
      </w:r>
      <w:r>
        <w:rPr>
          <w:rFonts w:ascii="楷体" w:hAnsi="楷体" w:eastAsia="楷体"/>
          <w:b/>
          <w:sz w:val="32"/>
          <w:szCs w:val="32"/>
        </w:rPr>
        <w:fldChar w:fldCharType="end"/>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职责分类绩效目标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1、发展现代流通网络和社属企业运营管理及建设。</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确保供销社事业改革、发展和壮大、发挥供销社在商业流通服务的作用，落实供销社系统现代流通网络建设，加快服务创新、经营创新和业态创新，优化网络布局，完善网络体系，发挥一网多用、双向流通的作用，在农资供应、农产品流通、农村服务等重点领域和环节为农民提供便利实惠、安全优质的服务。</w:t>
      </w:r>
    </w:p>
    <w:p>
      <w:pPr>
        <w:spacing w:line="500" w:lineRule="exact"/>
        <w:ind w:firstLine="640" w:firstLineChars="200"/>
        <w:jc w:val="left"/>
        <w:rPr>
          <w:rFonts w:ascii="仿宋" w:hAnsi="仿宋" w:eastAsia="仿宋"/>
          <w:sz w:val="32"/>
          <w:szCs w:val="32"/>
        </w:rPr>
      </w:pPr>
      <w:r>
        <w:rPr>
          <w:rFonts w:ascii="仿宋" w:hAnsi="仿宋" w:eastAsia="仿宋"/>
          <w:sz w:val="32"/>
          <w:szCs w:val="32"/>
        </w:rPr>
        <w:t>指导社属企业经营管理，对社属企业进行监督检查，完善企业运营管理制度并监督执行，行使出资人职能、确保社有资产的安全和增值。</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2、组织体系、服务体系建设及创新农村金融体系建设。</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紧紧围绕“三农”工作大局，以密切与农民利益联结为核心，以提升为农服务能力为根本，以强化基层社和创新联合社治理机制为重点，按照政事分开、社企分开的方向，推进体制改革和机制创新，加快建成适应社会主义市场经济需要、适应城乡发展一体化需要、适应中国特色农业现代化需要的组织体系和服务机制。</w:t>
      </w:r>
    </w:p>
    <w:p>
      <w:pPr>
        <w:spacing w:line="500" w:lineRule="exact"/>
        <w:ind w:firstLine="640" w:firstLineChars="200"/>
        <w:jc w:val="left"/>
        <w:rPr>
          <w:rFonts w:ascii="仿宋" w:hAnsi="仿宋" w:eastAsia="仿宋"/>
          <w:sz w:val="32"/>
          <w:szCs w:val="32"/>
        </w:rPr>
      </w:pPr>
      <w:r>
        <w:rPr>
          <w:rFonts w:ascii="仿宋" w:hAnsi="仿宋" w:eastAsia="仿宋"/>
          <w:sz w:val="32"/>
          <w:szCs w:val="32"/>
        </w:rPr>
        <w:t>3、重要商品物资储备及监管。</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保障市场供应、保证防汛救灾的需要、增强政府对市场的宏观调控能力和应急保障。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4、盐业体制改革</w:t>
      </w:r>
    </w:p>
    <w:p>
      <w:pPr>
        <w:spacing w:line="500" w:lineRule="exact"/>
        <w:ind w:firstLine="640" w:firstLineChars="200"/>
        <w:jc w:val="left"/>
        <w:rPr>
          <w:rFonts w:ascii="仿宋" w:hAnsi="仿宋" w:eastAsia="仿宋"/>
          <w:sz w:val="32"/>
          <w:szCs w:val="32"/>
        </w:rPr>
      </w:pPr>
      <w:r>
        <w:rPr>
          <w:rFonts w:ascii="仿宋" w:hAnsi="仿宋" w:eastAsia="仿宋"/>
          <w:sz w:val="32"/>
          <w:szCs w:val="32"/>
        </w:rPr>
        <w:t>按照县政府安排推动盐业体制改革工作，拨付盐业体制改革经费，完成县政府交办的改革任务。</w:t>
      </w:r>
    </w:p>
    <w:p>
      <w:pPr>
        <w:spacing w:line="500" w:lineRule="exact"/>
        <w:ind w:firstLine="640" w:firstLineChars="200"/>
        <w:jc w:val="left"/>
        <w:rPr>
          <w:rFonts w:ascii="仿宋" w:hAnsi="仿宋" w:eastAsia="仿宋"/>
          <w:sz w:val="32"/>
          <w:szCs w:val="32"/>
        </w:rPr>
      </w:pPr>
      <w:r>
        <w:rPr>
          <w:rFonts w:ascii="仿宋" w:hAnsi="仿宋" w:eastAsia="仿宋"/>
          <w:sz w:val="32"/>
          <w:szCs w:val="32"/>
        </w:rPr>
        <w:t>5、综合业务和事务管理。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制订系统发展战略和规划、指导系统业务活动和综合改革试点及事业发展；开展行业调查研究，制定相关行业政策、法规规章制度；信访接待、业务宣传、政务信息公开等工作。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会议组织管理、信息化建设与维护、机关财务和资产管理、标准化建设、基建及维修、设备购置、人事管理、机关党工委工作、老干部工作等。</w:t>
      </w:r>
    </w:p>
    <w:p>
      <w:pPr>
        <w:spacing w:line="500" w:lineRule="exact"/>
        <w:ind w:firstLine="643" w:firstLineChars="200"/>
        <w:jc w:val="left"/>
        <w:outlineLvl w:val="1"/>
        <w:rPr>
          <w:rFonts w:ascii="楷体" w:hAnsi="楷体" w:eastAsia="楷体"/>
          <w:b/>
          <w:sz w:val="32"/>
          <w:szCs w:val="32"/>
        </w:rPr>
      </w:pPr>
      <w:r>
        <w:rPr>
          <w:rFonts w:hint="eastAsia" w:ascii="楷体" w:hAnsi="楷体" w:eastAsia="楷体" w:cs="宋体"/>
          <w:b/>
          <w:sz w:val="32"/>
          <w:szCs w:val="32"/>
        </w:rPr>
        <w:t>（</w:t>
      </w:r>
      <w:r>
        <w:rPr>
          <w:rFonts w:hint="eastAsia" w:ascii="楷体" w:hAnsi="楷体" w:eastAsia="楷体"/>
          <w:b/>
          <w:sz w:val="32"/>
          <w:szCs w:val="32"/>
        </w:rPr>
        <w:t>三</w:t>
      </w:r>
      <w:r>
        <w:rPr>
          <w:rFonts w:hint="eastAsia" w:ascii="楷体" w:hAnsi="楷体" w:eastAsia="楷体" w:cs="宋体"/>
          <w:b/>
          <w:sz w:val="32"/>
          <w:szCs w:val="32"/>
        </w:rPr>
        <w:t>）</w:t>
      </w:r>
      <w:r>
        <w:rPr>
          <w:rFonts w:hint="eastAsia" w:ascii="楷体" w:hAnsi="楷体" w:eastAsia="楷体"/>
          <w:b/>
          <w:sz w:val="32"/>
          <w:szCs w:val="32"/>
        </w:rPr>
        <w:t>工作保障措施</w:t>
      </w:r>
      <w:r>
        <w:rPr>
          <w:rFonts w:ascii="楷体" w:hAnsi="楷体" w:eastAsia="楷体"/>
          <w:b/>
          <w:sz w:val="32"/>
          <w:szCs w:val="32"/>
        </w:rPr>
        <w:fldChar w:fldCharType="begin"/>
      </w:r>
      <w:r>
        <w:rPr>
          <w:rFonts w:ascii="楷体" w:hAnsi="楷体" w:eastAsia="楷体"/>
          <w:b/>
          <w:sz w:val="32"/>
          <w:szCs w:val="32"/>
        </w:rPr>
        <w:instrText xml:space="preserve"> </w:instrText>
      </w:r>
      <w:r>
        <w:rPr>
          <w:rFonts w:hint="eastAsia" w:ascii="楷体" w:hAnsi="楷体" w:eastAsia="楷体"/>
          <w:b/>
          <w:sz w:val="32"/>
          <w:szCs w:val="32"/>
        </w:rPr>
        <w:instrText xml:space="preserve">TC </w:instrText>
      </w:r>
      <w:bookmarkStart w:id="1" w:name="_Toc32740890"/>
      <w:r>
        <w:rPr>
          <w:rFonts w:hint="eastAsia" w:ascii="楷体" w:hAnsi="楷体" w:eastAsia="楷体"/>
          <w:b/>
          <w:sz w:val="32"/>
          <w:szCs w:val="32"/>
        </w:rPr>
        <w:instrText xml:space="preserve">工作保障措施</w:instrText>
      </w:r>
      <w:bookmarkEnd w:id="1"/>
      <w:r>
        <w:rPr>
          <w:rFonts w:hint="eastAsia" w:ascii="楷体" w:hAnsi="楷体" w:eastAsia="楷体"/>
          <w:b/>
          <w:sz w:val="32"/>
          <w:szCs w:val="32"/>
        </w:rPr>
        <w:instrText xml:space="preserve"> \f A \l 1</w:instrText>
      </w:r>
      <w:r>
        <w:rPr>
          <w:rFonts w:ascii="楷体" w:hAnsi="楷体" w:eastAsia="楷体"/>
          <w:b/>
          <w:sz w:val="32"/>
          <w:szCs w:val="32"/>
        </w:rPr>
        <w:instrText xml:space="preserve"> </w:instrText>
      </w:r>
      <w:r>
        <w:rPr>
          <w:rFonts w:ascii="楷体" w:hAnsi="楷体" w:eastAsia="楷体"/>
          <w:b/>
          <w:sz w:val="32"/>
          <w:szCs w:val="32"/>
        </w:rPr>
        <w:fldChar w:fldCharType="end"/>
      </w:r>
    </w:p>
    <w:p>
      <w:pPr>
        <w:spacing w:line="500" w:lineRule="exact"/>
        <w:ind w:firstLine="560" w:firstLineChars="200"/>
        <w:jc w:val="left"/>
        <w:rPr>
          <w:rFonts w:ascii="仿宋" w:hAnsi="仿宋" w:eastAsia="仿宋"/>
          <w:sz w:val="32"/>
          <w:szCs w:val="32"/>
        </w:rPr>
      </w:pPr>
      <w:r>
        <w:rPr>
          <w:rFonts w:ascii="Times New Roman" w:eastAsia="方正仿宋_GBK"/>
          <w:sz w:val="28"/>
        </w:rPr>
        <w:t xml:space="preserve"> </w:t>
      </w:r>
      <w:r>
        <w:rPr>
          <w:rFonts w:ascii="仿宋" w:hAnsi="仿宋" w:eastAsia="仿宋"/>
          <w:sz w:val="32"/>
          <w:szCs w:val="32"/>
        </w:rPr>
        <w:t>实现年度发展规划目标的保障措施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1、发展现代流通网络及社属企业运营管理建设的保障措施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健全农资、农副产品、日用消费品、再生资源回收利用四大网络，加快形成连锁化、规模化、品牌化经营服务新格局；发展农村电子商务，形成网上交易、仓储物流、终端配送一体化经营，推动线上线下融合发展。</w:t>
      </w:r>
    </w:p>
    <w:p>
      <w:pPr>
        <w:spacing w:line="500" w:lineRule="exact"/>
        <w:ind w:firstLine="640" w:firstLineChars="200"/>
        <w:jc w:val="left"/>
        <w:rPr>
          <w:rFonts w:ascii="仿宋" w:hAnsi="仿宋" w:eastAsia="仿宋"/>
          <w:sz w:val="32"/>
          <w:szCs w:val="32"/>
        </w:rPr>
      </w:pPr>
      <w:r>
        <w:rPr>
          <w:rFonts w:ascii="仿宋" w:hAnsi="仿宋" w:eastAsia="仿宋"/>
          <w:sz w:val="32"/>
          <w:szCs w:val="32"/>
        </w:rPr>
        <w:t>指导社属企业经营管理，对社属企业进行监督检查，完善企业运营管理制度并监督执行，行使出资人职能、确保社有资产的安全和增值。社有企业实现跨越式发展，供销社体制机制明显优化，营业收入、利润总额和净资产均有不同程度增长。</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2、组织、服务体系及创新农村金融体系建设的保障措施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以供销合作社体系为依托，自下而上组建农民合作社联合社。</w:t>
      </w:r>
    </w:p>
    <w:p>
      <w:pPr>
        <w:spacing w:line="500" w:lineRule="exact"/>
        <w:ind w:firstLine="640" w:firstLineChars="200"/>
        <w:jc w:val="left"/>
        <w:rPr>
          <w:rFonts w:ascii="仿宋" w:hAnsi="仿宋" w:eastAsia="仿宋"/>
          <w:sz w:val="32"/>
          <w:szCs w:val="32"/>
        </w:rPr>
      </w:pPr>
      <w:r>
        <w:rPr>
          <w:rFonts w:ascii="仿宋" w:hAnsi="仿宋" w:eastAsia="仿宋"/>
          <w:sz w:val="32"/>
          <w:szCs w:val="32"/>
        </w:rPr>
        <w:t>把供销合作社系统打造成为与农民联结更紧密、为农服务功能更完备、市场化运行更高效的合作经济组织体系，成为服务农民生产生活的生力军和综合平台，成为党和政府密切联系农民群众的桥梁纽带，切实在农业现代化建设中更好地发挥作用。</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创建农村合作金融体系,拓宽“三农”融资的渠道，按照统一要求、标准、计划，完成各项工作的建设任务，实现供销社合作金融体系上下贯通、利益链接、一体化运营。初步实现供销金融超市全县基层全覆盖。着重推进农村产权交易中心创建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3、物资储备管理保障措施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安排、组织代储企业依据储备计划及时足额、保质保量做好储备商品的收储、轮换等工作。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4、盐政执法及盐业体制改革的保障措施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按照县政府安排推动盐业体制改革工作，拨付盐业体制改革经费，把控经费拨付额度，完成县政府交办的改革任务。</w:t>
      </w:r>
    </w:p>
    <w:p>
      <w:pPr>
        <w:spacing w:line="500" w:lineRule="exact"/>
        <w:ind w:firstLine="640" w:firstLineChars="200"/>
        <w:jc w:val="left"/>
        <w:rPr>
          <w:rFonts w:ascii="仿宋" w:hAnsi="仿宋" w:eastAsia="仿宋"/>
          <w:sz w:val="32"/>
          <w:szCs w:val="32"/>
        </w:rPr>
      </w:pPr>
      <w:r>
        <w:rPr>
          <w:rFonts w:ascii="仿宋" w:hAnsi="仿宋" w:eastAsia="仿宋"/>
          <w:sz w:val="32"/>
          <w:szCs w:val="32"/>
        </w:rPr>
        <w:t>5、供销合作政务管理的保障措施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综合业务管理。制订系统发展战略和规划、指导系统业务活动和综合改革试点及事业发展；开展行业调查研究，制定相关行业政策、法规规章制度；信访接待、业务宣传、政务信息公开等工作，确保各项业务工作谋划到位、顺利开展。</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综合事务管理。会议组织管理、信息化建设与维护、机关财务和资产管理、标准化建设、基建及维修、设备购置、人事管理、机关党工委工作、老干部工作等，保障机关工作正常高效运转。</w:t>
      </w: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8"/>
        <w:tblW w:w="88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盐业公司拨付完成率</w:t>
            </w:r>
          </w:p>
        </w:tc>
        <w:tc>
          <w:tcPr>
            <w:tcW w:w="2172"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反映盐业公司工资拨付完成情况</w:t>
            </w:r>
          </w:p>
        </w:tc>
        <w:tc>
          <w:tcPr>
            <w:tcW w:w="1483" w:type="dxa"/>
            <w:tcBorders>
              <w:tl2br w:val="nil"/>
              <w:tr2bl w:val="nil"/>
            </w:tcBorders>
          </w:tcPr>
          <w:p>
            <w:pPr>
              <w:widowControl/>
              <w:jc w:val="center"/>
              <w:textAlignment w:val="top"/>
              <w:rPr>
                <w:rFonts w:ascii="方正书宋_GBK" w:eastAsia="方正书宋_GBK"/>
              </w:rPr>
            </w:pPr>
            <w:r>
              <w:rPr>
                <w:rFonts w:hint="eastAsia" w:ascii="宋体" w:hAnsi="宋体" w:cs="宋体"/>
                <w:color w:val="000000"/>
                <w:kern w:val="0"/>
                <w:sz w:val="18"/>
                <w:szCs w:val="18"/>
                <w:lang w:bidi="ar"/>
              </w:rPr>
              <w:t>拨付完成率每降低5%，扣指标分值的10%，拨付完成率低于60%得0分</w:t>
            </w:r>
          </w:p>
        </w:tc>
        <w:tc>
          <w:tcPr>
            <w:tcW w:w="543"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w:t>
            </w:r>
          </w:p>
        </w:tc>
        <w:tc>
          <w:tcPr>
            <w:tcW w:w="488"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100.00</w:t>
            </w:r>
          </w:p>
        </w:tc>
        <w:tc>
          <w:tcPr>
            <w:tcW w:w="573"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w:t>
            </w:r>
          </w:p>
        </w:tc>
        <w:tc>
          <w:tcPr>
            <w:tcW w:w="1277"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制定的方案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盐业公司拨付工资及时率</w:t>
            </w:r>
          </w:p>
        </w:tc>
        <w:tc>
          <w:tcPr>
            <w:tcW w:w="2172" w:type="dxa"/>
            <w:tcBorders>
              <w:tl2br w:val="nil"/>
              <w:tr2bl w:val="nil"/>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反映盐业公司工资拨付及时情况</w:t>
            </w:r>
          </w:p>
        </w:tc>
        <w:tc>
          <w:tcPr>
            <w:tcW w:w="1483" w:type="dxa"/>
            <w:tcBorders>
              <w:tl2br w:val="nil"/>
              <w:tr2bl w:val="nil"/>
            </w:tcBorders>
          </w:tcPr>
          <w:p>
            <w:pPr>
              <w:widowControl/>
              <w:jc w:val="center"/>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及时率每降低5%，扣指标分值的10%，及时率低于60%得0分</w:t>
            </w:r>
          </w:p>
        </w:tc>
        <w:tc>
          <w:tcPr>
            <w:tcW w:w="543" w:type="dxa"/>
            <w:tcBorders>
              <w:tl2br w:val="nil"/>
              <w:tr2bl w:val="nil"/>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488" w:type="dxa"/>
            <w:tcBorders>
              <w:tl2br w:val="nil"/>
              <w:tr2bl w:val="nil"/>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100</w:t>
            </w:r>
          </w:p>
        </w:tc>
        <w:tc>
          <w:tcPr>
            <w:tcW w:w="573" w:type="dxa"/>
            <w:tcBorders>
              <w:tl2br w:val="nil"/>
              <w:tr2bl w:val="nil"/>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w:t>
            </w:r>
          </w:p>
        </w:tc>
        <w:tc>
          <w:tcPr>
            <w:tcW w:w="1277" w:type="dxa"/>
            <w:tcBorders>
              <w:tl2br w:val="nil"/>
              <w:tr2bl w:val="nil"/>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制定的方案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食盐质量安全覆盖率</w:t>
            </w:r>
          </w:p>
        </w:tc>
        <w:tc>
          <w:tcPr>
            <w:tcW w:w="2172"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反映食盐质量与全县食盐质量安全的比率</w:t>
            </w:r>
          </w:p>
        </w:tc>
        <w:tc>
          <w:tcPr>
            <w:tcW w:w="1483" w:type="dxa"/>
            <w:tcBorders>
              <w:tl2br w:val="nil"/>
              <w:tr2bl w:val="nil"/>
            </w:tcBorders>
          </w:tcPr>
          <w:p>
            <w:pPr>
              <w:widowControl/>
              <w:jc w:val="center"/>
              <w:textAlignment w:val="top"/>
              <w:rPr>
                <w:rFonts w:ascii="方正书宋_GBK" w:eastAsia="方正书宋_GBK"/>
              </w:rPr>
            </w:pPr>
            <w:r>
              <w:rPr>
                <w:rFonts w:hint="eastAsia" w:ascii="宋体" w:hAnsi="宋体" w:cs="宋体"/>
                <w:color w:val="000000"/>
                <w:kern w:val="0"/>
                <w:sz w:val="18"/>
                <w:szCs w:val="18"/>
                <w:lang w:bidi="ar"/>
              </w:rPr>
              <w:t>覆盖率每降低5%，扣指标分值的10%，覆盖率低于60%得0分</w:t>
            </w:r>
          </w:p>
        </w:tc>
        <w:tc>
          <w:tcPr>
            <w:tcW w:w="543"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w:t>
            </w:r>
          </w:p>
        </w:tc>
        <w:tc>
          <w:tcPr>
            <w:tcW w:w="488"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100.00</w:t>
            </w:r>
          </w:p>
        </w:tc>
        <w:tc>
          <w:tcPr>
            <w:tcW w:w="573"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w:t>
            </w:r>
          </w:p>
        </w:tc>
        <w:tc>
          <w:tcPr>
            <w:tcW w:w="1277"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制定的方案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成本节约率</w:t>
            </w:r>
          </w:p>
        </w:tc>
        <w:tc>
          <w:tcPr>
            <w:tcW w:w="2172"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反映成本节约情况</w:t>
            </w:r>
          </w:p>
        </w:tc>
        <w:tc>
          <w:tcPr>
            <w:tcW w:w="1483" w:type="dxa"/>
            <w:tcBorders>
              <w:tl2br w:val="nil"/>
              <w:tr2bl w:val="nil"/>
            </w:tcBorders>
          </w:tcPr>
          <w:p>
            <w:pPr>
              <w:widowControl/>
              <w:jc w:val="center"/>
              <w:textAlignment w:val="top"/>
              <w:rPr>
                <w:rFonts w:ascii="方正书宋_GBK" w:eastAsia="方正书宋_GBK"/>
              </w:rPr>
            </w:pPr>
            <w:r>
              <w:rPr>
                <w:rFonts w:hint="eastAsia" w:ascii="宋体" w:hAnsi="宋体" w:cs="宋体"/>
                <w:color w:val="000000"/>
                <w:kern w:val="0"/>
                <w:sz w:val="18"/>
                <w:szCs w:val="18"/>
                <w:lang w:bidi="ar"/>
              </w:rPr>
              <w:t>成本节约率达到指标值得满分，每下降指标值得10%，减指标值10%，成本节约率低于1%得0分</w:t>
            </w:r>
          </w:p>
        </w:tc>
        <w:tc>
          <w:tcPr>
            <w:tcW w:w="543"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w:t>
            </w:r>
          </w:p>
        </w:tc>
        <w:tc>
          <w:tcPr>
            <w:tcW w:w="488"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2.00</w:t>
            </w:r>
          </w:p>
        </w:tc>
        <w:tc>
          <w:tcPr>
            <w:tcW w:w="573"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w:t>
            </w:r>
          </w:p>
        </w:tc>
        <w:tc>
          <w:tcPr>
            <w:tcW w:w="1277"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制定的方案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问题整改率</w:t>
            </w:r>
          </w:p>
        </w:tc>
        <w:tc>
          <w:tcPr>
            <w:tcW w:w="2172"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反映改革中已整改问题数量占发现问题的总数</w:t>
            </w:r>
          </w:p>
        </w:tc>
        <w:tc>
          <w:tcPr>
            <w:tcW w:w="1483" w:type="dxa"/>
            <w:tcBorders>
              <w:tl2br w:val="nil"/>
              <w:tr2bl w:val="nil"/>
            </w:tcBorders>
          </w:tcPr>
          <w:p>
            <w:pPr>
              <w:widowControl/>
              <w:jc w:val="center"/>
              <w:textAlignment w:val="top"/>
              <w:rPr>
                <w:rFonts w:ascii="方正书宋_GBK" w:eastAsia="方正书宋_GBK"/>
              </w:rPr>
            </w:pPr>
            <w:r>
              <w:rPr>
                <w:rFonts w:hint="eastAsia" w:ascii="宋体" w:hAnsi="宋体" w:cs="宋体"/>
                <w:color w:val="000000"/>
                <w:kern w:val="0"/>
                <w:sz w:val="18"/>
                <w:szCs w:val="18"/>
                <w:lang w:bidi="ar"/>
              </w:rPr>
              <w:t>问题整改率每降低5%，扣指标分值的10%，问题整改率低于60%得0分</w:t>
            </w:r>
          </w:p>
        </w:tc>
        <w:tc>
          <w:tcPr>
            <w:tcW w:w="543"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w:t>
            </w:r>
          </w:p>
        </w:tc>
        <w:tc>
          <w:tcPr>
            <w:tcW w:w="488"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90.00</w:t>
            </w:r>
          </w:p>
        </w:tc>
        <w:tc>
          <w:tcPr>
            <w:tcW w:w="573"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w:t>
            </w:r>
          </w:p>
        </w:tc>
        <w:tc>
          <w:tcPr>
            <w:tcW w:w="1277"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制定的方案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可持续影响指标</w:t>
            </w:r>
          </w:p>
        </w:tc>
        <w:tc>
          <w:tcPr>
            <w:tcW w:w="897" w:type="dxa"/>
            <w:tcBorders>
              <w:tl2br w:val="nil"/>
              <w:tr2bl w:val="nil"/>
            </w:tcBorders>
            <w:noWrap/>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保障食盐市场稳定年限</w:t>
            </w:r>
          </w:p>
        </w:tc>
        <w:tc>
          <w:tcPr>
            <w:tcW w:w="2172" w:type="dxa"/>
            <w:tcBorders>
              <w:tl2br w:val="nil"/>
              <w:tr2bl w:val="nil"/>
            </w:tcBorders>
            <w:noWrap/>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保障食盐供应安全、质量安全和市场稳定的年限</w:t>
            </w:r>
          </w:p>
        </w:tc>
        <w:tc>
          <w:tcPr>
            <w:tcW w:w="1483" w:type="dxa"/>
            <w:tcBorders>
              <w:tl2br w:val="nil"/>
              <w:tr2bl w:val="nil"/>
            </w:tcBorders>
            <w:noWrap/>
          </w:tcPr>
          <w:p>
            <w:pPr>
              <w:widowControl/>
              <w:jc w:val="center"/>
              <w:textAlignment w:val="top"/>
              <w:rPr>
                <w:rFonts w:ascii="方正书宋_GBK" w:eastAsia="方正书宋_GBK"/>
              </w:rPr>
            </w:pPr>
            <w:r>
              <w:rPr>
                <w:rFonts w:hint="eastAsia" w:ascii="宋体" w:hAnsi="宋体" w:cs="宋体"/>
                <w:color w:val="000000"/>
                <w:kern w:val="0"/>
                <w:sz w:val="18"/>
                <w:szCs w:val="18"/>
                <w:lang w:bidi="ar"/>
              </w:rPr>
              <w:t>在1年及以上得满分，每下降5%，减指标分值的5%，可持续影响低于60%得0分</w:t>
            </w:r>
          </w:p>
        </w:tc>
        <w:tc>
          <w:tcPr>
            <w:tcW w:w="543"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w:t>
            </w:r>
          </w:p>
        </w:tc>
        <w:tc>
          <w:tcPr>
            <w:tcW w:w="488"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1</w:t>
            </w:r>
          </w:p>
        </w:tc>
        <w:tc>
          <w:tcPr>
            <w:tcW w:w="573"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年</w:t>
            </w:r>
          </w:p>
        </w:tc>
        <w:tc>
          <w:tcPr>
            <w:tcW w:w="1277" w:type="dxa"/>
            <w:tcBorders>
              <w:tl2br w:val="nil"/>
              <w:tr2bl w:val="nil"/>
            </w:tcBorders>
            <w:vAlign w:val="center"/>
          </w:tcPr>
          <w:p>
            <w:pPr>
              <w:widowControl/>
              <w:jc w:val="center"/>
              <w:textAlignment w:val="center"/>
              <w:rPr>
                <w:rFonts w:ascii="方正书宋_GBK" w:eastAsia="方正书宋_GBK"/>
              </w:rPr>
            </w:pPr>
            <w:r>
              <w:rPr>
                <w:rFonts w:hint="eastAsia" w:ascii="宋体" w:hAnsi="宋体" w:cs="宋体"/>
                <w:color w:val="000000"/>
                <w:kern w:val="0"/>
                <w:sz w:val="18"/>
                <w:szCs w:val="18"/>
                <w:lang w:bidi="ar"/>
              </w:rPr>
              <w:t>制定的方案</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仿宋" w:hAnsi="仿宋" w:eastAsia="仿宋" w:cs="Times New Roman"/>
          <w:sz w:val="28"/>
        </w:rPr>
      </w:pPr>
      <w:r>
        <w:rPr>
          <w:rFonts w:hint="eastAsia" w:ascii="仿宋" w:hAnsi="仿宋" w:eastAsia="仿宋" w:cs="Times New Roman"/>
          <w:sz w:val="28"/>
        </w:rPr>
        <w:t>盐业体制改革费用</w:t>
      </w:r>
      <w:r>
        <w:rPr>
          <w:rFonts w:ascii="仿宋" w:hAnsi="仿宋" w:eastAsia="仿宋" w:cs="Times New Roman"/>
          <w:sz w:val="28"/>
        </w:rPr>
        <w:t>绩效目标表</w:t>
      </w:r>
      <w:bookmarkStart w:id="2" w:name="_Toc29799657"/>
      <w:bookmarkEnd w:id="2"/>
      <w:r>
        <w:rPr>
          <w:rFonts w:ascii="仿宋" w:hAnsi="仿宋" w:eastAsia="仿宋"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rPr>
                <w:rFonts w:ascii="仿宋" w:hAnsi="仿宋" w:eastAsia="仿宋" w:cs="Times New Roman"/>
                <w:b/>
              </w:rPr>
            </w:pPr>
            <w:r>
              <w:rPr>
                <w:rFonts w:hint="eastAsia" w:ascii="仿宋" w:hAnsi="仿宋" w:eastAsia="仿宋" w:cs="Times New Roman"/>
                <w:b/>
              </w:rPr>
              <w:t>1、通过项目的开展，确保我县食盐市场稳定。</w:t>
            </w:r>
          </w:p>
          <w:p>
            <w:pPr>
              <w:spacing w:line="300" w:lineRule="exact"/>
              <w:rPr>
                <w:rFonts w:ascii="仿宋" w:hAnsi="仿宋" w:eastAsia="仿宋" w:cs="Times New Roman"/>
                <w:b/>
              </w:rPr>
            </w:pPr>
            <w:r>
              <w:rPr>
                <w:rFonts w:hint="eastAsia" w:ascii="仿宋" w:hAnsi="仿宋" w:eastAsia="仿宋" w:cs="Times New Roman"/>
                <w:b/>
              </w:rPr>
              <w:t>2、通过项目的开展，确保我县供应安全和质量安全。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22"/>
                <w:lang w:bidi="ar"/>
              </w:rPr>
              <w:t>数量指标</w:t>
            </w:r>
          </w:p>
        </w:tc>
        <w:tc>
          <w:tcPr>
            <w:tcW w:w="1985"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18"/>
                <w:szCs w:val="18"/>
                <w:lang w:bidi="ar"/>
              </w:rPr>
              <w:t>盐业公司供应安全</w:t>
            </w:r>
          </w:p>
        </w:tc>
        <w:tc>
          <w:tcPr>
            <w:tcW w:w="3402" w:type="dxa"/>
            <w:shd w:val="clear" w:color="auto" w:fill="auto"/>
          </w:tcPr>
          <w:p>
            <w:pPr>
              <w:widowControl/>
              <w:jc w:val="left"/>
              <w:textAlignment w:val="top"/>
              <w:rPr>
                <w:rFonts w:ascii="仿宋" w:hAnsi="仿宋" w:eastAsia="仿宋" w:cs="Times New Roman"/>
              </w:rPr>
            </w:pPr>
            <w:r>
              <w:rPr>
                <w:rFonts w:hint="eastAsia" w:ascii="宋体" w:hAnsi="宋体" w:cs="宋体"/>
                <w:color w:val="000000"/>
                <w:kern w:val="0"/>
                <w:sz w:val="18"/>
                <w:szCs w:val="18"/>
                <w:lang w:bidi="ar"/>
              </w:rPr>
              <w:t>项目确保食盐市场稳定健康发展</w:t>
            </w:r>
          </w:p>
        </w:tc>
        <w:tc>
          <w:tcPr>
            <w:tcW w:w="1843" w:type="dxa"/>
            <w:shd w:val="clear" w:color="auto" w:fill="auto"/>
            <w:vAlign w:val="center"/>
          </w:tcPr>
          <w:p>
            <w:pPr>
              <w:widowControl/>
              <w:jc w:val="center"/>
              <w:textAlignment w:val="center"/>
              <w:rPr>
                <w:rFonts w:ascii="仿宋" w:hAnsi="仿宋" w:eastAsia="仿宋" w:cs="Times New Roman"/>
              </w:rPr>
            </w:pPr>
            <w:r>
              <w:rPr>
                <w:rFonts w:hint="eastAsia" w:ascii="宋体" w:hAnsi="宋体" w:cs="宋体"/>
                <w:color w:val="000000"/>
                <w:kern w:val="0"/>
                <w:sz w:val="18"/>
                <w:szCs w:val="18"/>
                <w:lang w:bidi="ar"/>
              </w:rPr>
              <w:t>1.00</w:t>
            </w:r>
          </w:p>
        </w:tc>
        <w:tc>
          <w:tcPr>
            <w:tcW w:w="2155"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18"/>
                <w:szCs w:val="18"/>
                <w:lang w:bidi="ar"/>
              </w:rPr>
              <w:t>按市场监管要求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22"/>
                <w:lang w:bidi="ar"/>
              </w:rPr>
              <w:t>质量指标</w:t>
            </w:r>
          </w:p>
        </w:tc>
        <w:tc>
          <w:tcPr>
            <w:tcW w:w="1985"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18"/>
                <w:szCs w:val="18"/>
                <w:lang w:bidi="ar"/>
              </w:rPr>
              <w:t>食盐质量安全覆盖率</w:t>
            </w:r>
          </w:p>
        </w:tc>
        <w:tc>
          <w:tcPr>
            <w:tcW w:w="3402"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18"/>
                <w:szCs w:val="18"/>
                <w:lang w:bidi="ar"/>
              </w:rPr>
              <w:t>食盐质量与全县食盐质量安全的比率</w:t>
            </w:r>
          </w:p>
        </w:tc>
        <w:tc>
          <w:tcPr>
            <w:tcW w:w="1843" w:type="dxa"/>
            <w:shd w:val="clear" w:color="auto" w:fill="auto"/>
            <w:vAlign w:val="center"/>
          </w:tcPr>
          <w:p>
            <w:pPr>
              <w:widowControl/>
              <w:jc w:val="center"/>
              <w:textAlignment w:val="center"/>
              <w:rPr>
                <w:rFonts w:ascii="仿宋" w:hAnsi="仿宋" w:eastAsia="仿宋" w:cs="Times New Roman"/>
              </w:rPr>
            </w:pPr>
            <w:r>
              <w:rPr>
                <w:rFonts w:hint="eastAsia" w:ascii="宋体" w:hAnsi="宋体" w:cs="宋体"/>
                <w:color w:val="000000"/>
                <w:kern w:val="0"/>
                <w:sz w:val="18"/>
                <w:szCs w:val="18"/>
                <w:lang w:bidi="ar"/>
              </w:rPr>
              <w:t>100.00</w:t>
            </w:r>
          </w:p>
        </w:tc>
        <w:tc>
          <w:tcPr>
            <w:tcW w:w="2155"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18"/>
                <w:szCs w:val="18"/>
                <w:lang w:bidi="ar"/>
              </w:rPr>
              <w:t>按食盐标准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22"/>
                <w:lang w:bidi="ar"/>
              </w:rPr>
              <w:t>时效指标</w:t>
            </w:r>
          </w:p>
        </w:tc>
        <w:tc>
          <w:tcPr>
            <w:tcW w:w="1985"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18"/>
                <w:szCs w:val="18"/>
                <w:lang w:bidi="ar"/>
              </w:rPr>
              <w:t>预计完成时间</w:t>
            </w:r>
          </w:p>
        </w:tc>
        <w:tc>
          <w:tcPr>
            <w:tcW w:w="3402"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18"/>
                <w:szCs w:val="18"/>
                <w:lang w:bidi="ar"/>
              </w:rPr>
              <w:t>项目预计完成时间</w:t>
            </w:r>
          </w:p>
        </w:tc>
        <w:tc>
          <w:tcPr>
            <w:tcW w:w="1843" w:type="dxa"/>
            <w:shd w:val="clear" w:color="auto" w:fill="auto"/>
            <w:vAlign w:val="center"/>
          </w:tcPr>
          <w:p>
            <w:pPr>
              <w:widowControl/>
              <w:jc w:val="center"/>
              <w:textAlignment w:val="center"/>
              <w:rPr>
                <w:rFonts w:ascii="仿宋" w:hAnsi="仿宋" w:eastAsia="仿宋" w:cs="Times New Roman"/>
              </w:rPr>
            </w:pPr>
            <w:r>
              <w:rPr>
                <w:rFonts w:hint="eastAsia" w:ascii="宋体" w:hAnsi="宋体" w:cs="宋体"/>
                <w:color w:val="000000"/>
                <w:kern w:val="0"/>
                <w:sz w:val="18"/>
                <w:szCs w:val="18"/>
                <w:lang w:bidi="ar"/>
              </w:rPr>
              <w:t>1.00</w:t>
            </w:r>
          </w:p>
        </w:tc>
        <w:tc>
          <w:tcPr>
            <w:tcW w:w="2155"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18"/>
                <w:szCs w:val="18"/>
                <w:lang w:bidi="ar"/>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22"/>
                <w:lang w:bidi="ar"/>
              </w:rPr>
              <w:t>成本指标</w:t>
            </w:r>
          </w:p>
        </w:tc>
        <w:tc>
          <w:tcPr>
            <w:tcW w:w="1985"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18"/>
                <w:szCs w:val="18"/>
                <w:lang w:bidi="ar"/>
              </w:rPr>
              <w:t>预计控制数</w:t>
            </w:r>
          </w:p>
        </w:tc>
        <w:tc>
          <w:tcPr>
            <w:tcW w:w="3402"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18"/>
                <w:szCs w:val="18"/>
                <w:lang w:bidi="ar"/>
              </w:rPr>
              <w:t>项目预计控制数</w:t>
            </w:r>
          </w:p>
        </w:tc>
        <w:tc>
          <w:tcPr>
            <w:tcW w:w="1843" w:type="dxa"/>
            <w:shd w:val="clear" w:color="auto" w:fill="auto"/>
            <w:vAlign w:val="center"/>
          </w:tcPr>
          <w:p>
            <w:pPr>
              <w:widowControl/>
              <w:jc w:val="center"/>
              <w:textAlignment w:val="center"/>
              <w:rPr>
                <w:rFonts w:ascii="仿宋" w:hAnsi="仿宋" w:eastAsia="仿宋" w:cs="Times New Roman"/>
              </w:rPr>
            </w:pPr>
            <w:r>
              <w:rPr>
                <w:rFonts w:hint="eastAsia" w:ascii="宋体" w:hAnsi="宋体" w:cs="宋体"/>
                <w:color w:val="000000"/>
                <w:kern w:val="0"/>
                <w:sz w:val="18"/>
                <w:szCs w:val="18"/>
                <w:lang w:bidi="ar"/>
              </w:rPr>
              <w:t>31.3</w:t>
            </w:r>
          </w:p>
        </w:tc>
        <w:tc>
          <w:tcPr>
            <w:tcW w:w="2155"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18"/>
                <w:szCs w:val="18"/>
                <w:lang w:bidi="ar"/>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22"/>
                <w:lang w:bidi="ar"/>
              </w:rPr>
              <w:t>社会效益</w:t>
            </w:r>
          </w:p>
        </w:tc>
        <w:tc>
          <w:tcPr>
            <w:tcW w:w="1985"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18"/>
                <w:szCs w:val="18"/>
                <w:lang w:bidi="ar"/>
              </w:rPr>
              <w:t>问题整改率</w:t>
            </w:r>
          </w:p>
        </w:tc>
        <w:tc>
          <w:tcPr>
            <w:tcW w:w="3402"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18"/>
                <w:szCs w:val="18"/>
                <w:lang w:bidi="ar"/>
              </w:rPr>
              <w:t>已整改问数量占发现问题的总数</w:t>
            </w:r>
          </w:p>
        </w:tc>
        <w:tc>
          <w:tcPr>
            <w:tcW w:w="1843" w:type="dxa"/>
            <w:shd w:val="clear" w:color="auto" w:fill="auto"/>
            <w:vAlign w:val="center"/>
          </w:tcPr>
          <w:p>
            <w:pPr>
              <w:spacing w:line="300" w:lineRule="exact"/>
              <w:jc w:val="center"/>
              <w:rPr>
                <w:rFonts w:ascii="仿宋" w:hAnsi="仿宋" w:eastAsia="仿宋" w:cs="Times New Roman"/>
              </w:rPr>
            </w:pPr>
            <w:r>
              <w:rPr>
                <w:rFonts w:hint="eastAsia" w:ascii="仿宋" w:hAnsi="仿宋" w:eastAsia="仿宋" w:cs="Times New Roman"/>
              </w:rPr>
              <w:t>90</w:t>
            </w:r>
          </w:p>
        </w:tc>
        <w:tc>
          <w:tcPr>
            <w:tcW w:w="2155" w:type="dxa"/>
            <w:shd w:val="clear" w:color="auto" w:fill="auto"/>
            <w:vAlign w:val="center"/>
          </w:tcPr>
          <w:p>
            <w:pPr>
              <w:spacing w:line="300" w:lineRule="exact"/>
              <w:jc w:val="left"/>
              <w:rPr>
                <w:rFonts w:ascii="仿宋" w:hAnsi="仿宋" w:eastAsia="仿宋" w:cs="Times New Roman"/>
              </w:rPr>
            </w:pPr>
            <w:r>
              <w:rPr>
                <w:rFonts w:hint="eastAsia" w:ascii="宋体" w:hAnsi="宋体" w:cs="宋体"/>
                <w:color w:val="000000"/>
                <w:kern w:val="0"/>
                <w:sz w:val="18"/>
                <w:szCs w:val="18"/>
                <w:lang w:bidi="ar"/>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22"/>
                <w:lang w:bidi="ar"/>
              </w:rPr>
              <w:t>满意度指标</w:t>
            </w:r>
          </w:p>
        </w:tc>
        <w:tc>
          <w:tcPr>
            <w:tcW w:w="1985"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18"/>
                <w:szCs w:val="18"/>
                <w:lang w:bidi="ar"/>
              </w:rPr>
              <w:t>市场满意度</w:t>
            </w:r>
          </w:p>
        </w:tc>
        <w:tc>
          <w:tcPr>
            <w:tcW w:w="3402"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18"/>
                <w:szCs w:val="18"/>
                <w:lang w:bidi="ar"/>
              </w:rPr>
              <w:t>项目市场满意度</w:t>
            </w:r>
          </w:p>
        </w:tc>
        <w:tc>
          <w:tcPr>
            <w:tcW w:w="1843" w:type="dxa"/>
            <w:shd w:val="clear" w:color="auto" w:fill="auto"/>
            <w:vAlign w:val="center"/>
          </w:tcPr>
          <w:p>
            <w:pPr>
              <w:spacing w:line="300" w:lineRule="exact"/>
              <w:jc w:val="center"/>
              <w:rPr>
                <w:rFonts w:ascii="仿宋" w:hAnsi="仿宋" w:eastAsia="仿宋" w:cs="Times New Roman"/>
              </w:rPr>
            </w:pPr>
            <w:r>
              <w:rPr>
                <w:rFonts w:hint="eastAsia" w:ascii="仿宋" w:hAnsi="仿宋" w:eastAsia="仿宋" w:cs="Times New Roman"/>
              </w:rPr>
              <w:t>90</w:t>
            </w:r>
          </w:p>
        </w:tc>
        <w:tc>
          <w:tcPr>
            <w:tcW w:w="2155" w:type="dxa"/>
            <w:shd w:val="clear" w:color="auto" w:fill="auto"/>
            <w:vAlign w:val="center"/>
          </w:tcPr>
          <w:p>
            <w:pPr>
              <w:spacing w:line="300" w:lineRule="exact"/>
              <w:jc w:val="left"/>
              <w:rPr>
                <w:rFonts w:ascii="仿宋" w:hAnsi="仿宋" w:eastAsia="仿宋" w:cs="Times New Roman"/>
              </w:rPr>
            </w:pPr>
            <w:r>
              <w:rPr>
                <w:rFonts w:hint="eastAsia" w:ascii="宋体" w:hAnsi="宋体" w:cs="宋体"/>
                <w:color w:val="000000"/>
                <w:kern w:val="0"/>
                <w:sz w:val="18"/>
                <w:szCs w:val="18"/>
                <w:lang w:bidi="ar"/>
              </w:rPr>
              <w:t>实际情况</w:t>
            </w:r>
          </w:p>
        </w:tc>
      </w:tr>
    </w:tbl>
    <w:p>
      <w:pPr>
        <w:jc w:val="left"/>
        <w:outlineLvl w:val="1"/>
        <w:rPr>
          <w:rFonts w:ascii="仿宋" w:hAnsi="仿宋" w:eastAsia="仿宋" w:cs="Times New Roman"/>
          <w:sz w:val="28"/>
        </w:rPr>
      </w:pPr>
      <w:r>
        <w:rPr>
          <w:rFonts w:ascii="仿宋" w:hAnsi="仿宋" w:eastAsia="仿宋" w:cs="Times New Roman"/>
          <w:vanish/>
          <w:sz w:val="28"/>
        </w:rPr>
        <w:t>{ TC 2、办公自动化（OA）和督查督办系统升级及推广费绩效目标表 \f C \l 1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ind w:firstLine="640" w:firstLineChars="200"/>
        <w:outlineLvl w:val="0"/>
        <w:rPr>
          <w:rFonts w:ascii="仿宋" w:hAnsi="仿宋" w:eastAsia="仿宋" w:cs="Times New Roman"/>
          <w:sz w:val="32"/>
          <w:szCs w:val="24"/>
        </w:rPr>
      </w:pPr>
      <w:bookmarkStart w:id="3" w:name="_Toc471398468"/>
      <w:r>
        <w:rPr>
          <w:rFonts w:ascii="仿宋" w:hAnsi="仿宋" w:eastAsia="仿宋" w:cs="仿宋"/>
          <w:sz w:val="32"/>
          <w:szCs w:val="32"/>
        </w:rPr>
        <w:t>20</w:t>
      </w:r>
      <w:r>
        <w:rPr>
          <w:rFonts w:hint="eastAsia" w:ascii="仿宋" w:hAnsi="仿宋" w:eastAsia="仿宋" w:cs="仿宋"/>
          <w:sz w:val="32"/>
          <w:szCs w:val="32"/>
        </w:rPr>
        <w:t>22年，我部门未安排政府采购预算。</w:t>
      </w:r>
    </w:p>
    <w:bookmarkEnd w:id="3"/>
    <w:p>
      <w:pPr>
        <w:spacing w:line="584" w:lineRule="exact"/>
        <w:jc w:val="left"/>
        <w:outlineLvl w:val="0"/>
        <w:rPr>
          <w:rFonts w:ascii="Times New Roman" w:hAnsi="Times New Roman" w:eastAsia="仿宋_GB2312" w:cs="Times New Roman"/>
        </w:rPr>
      </w:pPr>
    </w:p>
    <w:p>
      <w:pPr>
        <w:jc w:val="center"/>
        <w:outlineLvl w:val="1"/>
        <w:rPr>
          <w:rFonts w:ascii="方正小标宋_GBK" w:eastAsia="方正小标宋_GBK" w:cs="Times New Roman"/>
          <w:sz w:val="32"/>
        </w:rPr>
      </w:pPr>
      <w:bookmarkStart w:id="4" w:name="_Toc64920910"/>
    </w:p>
    <w:p>
      <w:pPr>
        <w:jc w:val="center"/>
        <w:outlineLvl w:val="1"/>
        <w:rPr>
          <w:rFonts w:ascii="方正小标宋_GBK" w:eastAsia="方正小标宋_GBK" w:cs="Times New Roman"/>
          <w:sz w:val="32"/>
        </w:rPr>
      </w:pPr>
    </w:p>
    <w:p>
      <w:pPr>
        <w:jc w:val="center"/>
        <w:outlineLvl w:val="1"/>
        <w:rPr>
          <w:rFonts w:ascii="Times New Roman" w:hAnsi="Times New Roman" w:cs="Times New Roman"/>
          <w:sz w:val="32"/>
        </w:rPr>
      </w:pPr>
      <w:r>
        <w:rPr>
          <w:rFonts w:ascii="方正小标宋_GBK" w:eastAsia="方正小标宋_GBK" w:cs="Times New Roman"/>
          <w:sz w:val="32"/>
        </w:rPr>
        <w:br w:type="textWrapping"/>
      </w:r>
      <w:r>
        <w:rPr>
          <w:rFonts w:hint="eastAsia" w:ascii="方正小标宋_GBK" w:eastAsia="方正小标宋_GBK" w:cs="Times New Roman"/>
          <w:sz w:val="32"/>
        </w:rPr>
        <w:t>部门政府采购预算</w:t>
      </w:r>
      <w:bookmarkEnd w:id="4"/>
    </w:p>
    <w:tbl>
      <w:tblPr>
        <w:tblStyle w:val="8"/>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大厂回族自治县</w:t>
            </w:r>
            <w:r>
              <w:rPr>
                <w:rFonts w:hint="eastAsia" w:ascii="方正小标宋_GBK" w:eastAsia="方正小标宋_GBK"/>
                <w:sz w:val="24"/>
              </w:rPr>
              <w:t>供销合作社</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rPr>
        <w:t>注:空表列示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仿宋" w:hAnsi="仿宋" w:eastAsia="仿宋" w:cs="仿宋"/>
          <w:sz w:val="32"/>
          <w:szCs w:val="32"/>
        </w:rPr>
        <w:t>大厂回族自治县供销合作社上年末固定资产金额为29.48元，本年度无拟购置固定资产。</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大厂回族自治县供销合作社</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29.48</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10.6</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18.88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eastAsia="zh-CN"/>
        </w:rPr>
        <w:t>县</w:t>
      </w:r>
      <w:bookmarkStart w:id="5" w:name="_GoBack"/>
      <w:bookmarkEnd w:id="5"/>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SimSun-ExtB"/>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50DD"/>
    <w:rsid w:val="000261B2"/>
    <w:rsid w:val="000D16EE"/>
    <w:rsid w:val="001F687F"/>
    <w:rsid w:val="002677CC"/>
    <w:rsid w:val="002B4DA5"/>
    <w:rsid w:val="003909CD"/>
    <w:rsid w:val="00391E11"/>
    <w:rsid w:val="003F42BA"/>
    <w:rsid w:val="003F44D0"/>
    <w:rsid w:val="00405EF3"/>
    <w:rsid w:val="00406D17"/>
    <w:rsid w:val="004A54AA"/>
    <w:rsid w:val="004E0A4F"/>
    <w:rsid w:val="005005BB"/>
    <w:rsid w:val="00507F82"/>
    <w:rsid w:val="0053255B"/>
    <w:rsid w:val="00536CE0"/>
    <w:rsid w:val="00611D60"/>
    <w:rsid w:val="00682F94"/>
    <w:rsid w:val="00774782"/>
    <w:rsid w:val="008552EF"/>
    <w:rsid w:val="008F2064"/>
    <w:rsid w:val="00920169"/>
    <w:rsid w:val="009832FD"/>
    <w:rsid w:val="00A04D8F"/>
    <w:rsid w:val="00B80935"/>
    <w:rsid w:val="00D347CC"/>
    <w:rsid w:val="00E03230"/>
    <w:rsid w:val="00E375C8"/>
    <w:rsid w:val="00E46D39"/>
    <w:rsid w:val="00E771B9"/>
    <w:rsid w:val="00EE07AC"/>
    <w:rsid w:val="00FA1258"/>
    <w:rsid w:val="076E1036"/>
    <w:rsid w:val="2C753DBE"/>
    <w:rsid w:val="3CC43B82"/>
    <w:rsid w:val="645F4D4C"/>
    <w:rsid w:val="6E175C45"/>
    <w:rsid w:val="7AB36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page number"/>
    <w:basedOn w:val="9"/>
    <w:semiHidden/>
    <w:unhideWhenUsed/>
    <w:qFormat/>
    <w:uiPriority w:val="99"/>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867</Words>
  <Characters>4946</Characters>
  <Lines>41</Lines>
  <Paragraphs>11</Paragraphs>
  <TotalTime>325</TotalTime>
  <ScaleCrop>false</ScaleCrop>
  <LinksUpToDate>false</LinksUpToDate>
  <CharactersWithSpaces>5802</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2022-07-11T08:16:03Z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